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3BF6B28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8D098B">
        <w:rPr>
          <w:b/>
          <w:color w:val="000000" w:themeColor="text1"/>
          <w:sz w:val="24"/>
          <w:szCs w:val="24"/>
          <w:lang w:eastAsia="ko-KR"/>
        </w:rPr>
        <w:t>5</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2760A1" w:rsidRPr="00087F5E">
        <w:rPr>
          <w:rFonts w:asciiTheme="minorEastAsia" w:eastAsiaTheme="minorEastAsia" w:hAnsiTheme="minorEastAsia"/>
          <w:b/>
          <w:color w:val="000000" w:themeColor="text1"/>
          <w:sz w:val="24"/>
          <w:szCs w:val="24"/>
          <w:lang w:eastAsia="ko-KR"/>
        </w:rPr>
        <w:t>2</w:t>
      </w:r>
      <w:r w:rsidR="002760A1">
        <w:rPr>
          <w:rFonts w:asciiTheme="minorEastAsia" w:eastAsiaTheme="minorEastAsia" w:hAnsiTheme="minorEastAsia"/>
          <w:b/>
          <w:color w:val="000000" w:themeColor="text1"/>
          <w:sz w:val="24"/>
          <w:szCs w:val="24"/>
          <w:lang w:eastAsia="ko-KR"/>
        </w:rPr>
        <w:t>10</w:t>
      </w:r>
      <w:r w:rsidR="00A35E1D" w:rsidRPr="00A35E1D">
        <w:rPr>
          <w:rFonts w:asciiTheme="minorEastAsia" w:eastAsiaTheme="minorEastAsia" w:hAnsiTheme="minorEastAsia"/>
          <w:b/>
          <w:color w:val="000000" w:themeColor="text1"/>
          <w:sz w:val="24"/>
          <w:szCs w:val="24"/>
          <w:lang w:eastAsia="ko-KR"/>
        </w:rPr>
        <w:t>5227</w:t>
      </w:r>
    </w:p>
    <w:bookmarkEnd w:id="0"/>
    <w:p w14:paraId="232823A7" w14:textId="4691403E"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8D098B">
        <w:rPr>
          <w:rFonts w:eastAsia="SimSun" w:cs="Arial"/>
          <w:b/>
          <w:bCs/>
          <w:color w:val="000000" w:themeColor="text1"/>
          <w:sz w:val="24"/>
          <w:szCs w:val="24"/>
          <w:lang w:eastAsia="zh-CN"/>
        </w:rPr>
        <w:t>May</w:t>
      </w:r>
      <w:r w:rsidR="00F76C3B" w:rsidRPr="00122191">
        <w:rPr>
          <w:rFonts w:eastAsia="SimSun" w:cs="Arial"/>
          <w:b/>
          <w:bCs/>
          <w:color w:val="000000" w:themeColor="text1"/>
          <w:sz w:val="24"/>
          <w:szCs w:val="24"/>
          <w:lang w:eastAsia="zh-CN"/>
        </w:rPr>
        <w:t xml:space="preserve"> </w:t>
      </w:r>
      <w:r w:rsidR="006F2F18">
        <w:rPr>
          <w:rFonts w:eastAsia="SimSun" w:cs="Arial"/>
          <w:b/>
          <w:bCs/>
          <w:color w:val="000000" w:themeColor="text1"/>
          <w:sz w:val="24"/>
          <w:szCs w:val="24"/>
          <w:lang w:eastAsia="zh-CN"/>
        </w:rPr>
        <w:t>1</w:t>
      </w:r>
      <w:r w:rsidR="008D098B">
        <w:rPr>
          <w:rFonts w:eastAsia="SimSun" w:cs="Arial"/>
          <w:b/>
          <w:bCs/>
          <w:color w:val="000000" w:themeColor="text1"/>
          <w:sz w:val="24"/>
          <w:szCs w:val="24"/>
          <w:lang w:eastAsia="zh-CN"/>
        </w:rPr>
        <w:t>0</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5375C5">
        <w:rPr>
          <w:rFonts w:eastAsia="SimSun" w:cs="Arial"/>
          <w:b/>
          <w:bCs/>
          <w:color w:val="000000" w:themeColor="text1"/>
          <w:sz w:val="24"/>
          <w:szCs w:val="24"/>
          <w:lang w:eastAsia="zh-CN"/>
        </w:rPr>
        <w:t xml:space="preserve"> </w:t>
      </w:r>
      <w:r w:rsidR="006F2F18">
        <w:rPr>
          <w:rFonts w:eastAsia="SimSun" w:cs="Arial"/>
          <w:b/>
          <w:bCs/>
          <w:color w:val="000000" w:themeColor="text1"/>
          <w:sz w:val="24"/>
          <w:szCs w:val="24"/>
          <w:lang w:eastAsia="zh-CN"/>
        </w:rPr>
        <w:t>2</w:t>
      </w:r>
      <w:r w:rsidR="005375C5">
        <w:rPr>
          <w:rFonts w:eastAsia="SimSun" w:cs="Arial"/>
          <w:b/>
          <w:bCs/>
          <w:color w:val="000000" w:themeColor="text1"/>
          <w:sz w:val="24"/>
          <w:szCs w:val="24"/>
          <w:lang w:eastAsia="zh-CN"/>
        </w:rPr>
        <w:t>7</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4A5EBA8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w:t>
      </w:r>
      <w:r w:rsidR="00BC2C73">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EEF9B37"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BC2C73">
        <w:rPr>
          <w:rFonts w:ascii="Arial" w:eastAsia="SimSun" w:hAnsi="Arial" w:cs="Arial"/>
          <w:color w:val="000000" w:themeColor="text1"/>
          <w:sz w:val="24"/>
          <w:lang w:eastAsia="zh-CN"/>
        </w:rPr>
        <w:t>simultaneous operation</w:t>
      </w:r>
      <w:r w:rsidR="00F01674" w:rsidRPr="00AE1C98">
        <w:rPr>
          <w:rFonts w:ascii="Arial" w:eastAsia="SimSun" w:hAnsi="Arial" w:cs="Arial"/>
          <w:color w:val="000000" w:themeColor="text1"/>
          <w:sz w:val="24"/>
          <w:lang w:eastAsia="zh-CN"/>
        </w:rPr>
        <w:t xml:space="preserve"> enhancements</w:t>
      </w:r>
      <w:r w:rsidR="00BC2C73">
        <w:rPr>
          <w:rFonts w:ascii="Arial" w:eastAsia="SimSun" w:hAnsi="Arial" w:cs="Arial"/>
          <w:color w:val="000000" w:themeColor="text1"/>
          <w:sz w:val="24"/>
          <w:lang w:eastAsia="zh-CN"/>
        </w:rPr>
        <w:t xml:space="preserve"> for </w:t>
      </w:r>
      <w:proofErr w:type="spellStart"/>
      <w:r w:rsidR="00BC2C73">
        <w:rPr>
          <w:rFonts w:ascii="Arial" w:eastAsia="SimSun" w:hAnsi="Arial" w:cs="Arial"/>
          <w:color w:val="000000" w:themeColor="text1"/>
          <w:sz w:val="24"/>
          <w:lang w:eastAsia="zh-CN"/>
        </w:rPr>
        <w:t>eIAB</w:t>
      </w:r>
      <w:proofErr w:type="spellEnd"/>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5891B2E" w14:textId="7FB6F295" w:rsidR="001A668D" w:rsidRPr="002D1C5B" w:rsidRDefault="001A668D" w:rsidP="001A668D">
      <w:pPr>
        <w:pStyle w:val="maintext"/>
        <w:ind w:firstLine="440"/>
      </w:pPr>
      <w:r>
        <w:t>This contribution presents ETRI’s views on simultaneous operations for IAB.</w:t>
      </w:r>
    </w:p>
    <w:p w14:paraId="3DCBCBAA" w14:textId="77777777" w:rsidR="00276C67" w:rsidRPr="00ED4398"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29BDB423" w14:textId="42851090" w:rsidR="001F6B73" w:rsidRDefault="00885733" w:rsidP="00024E0C">
      <w:pPr>
        <w:pStyle w:val="2"/>
        <w:spacing w:after="120"/>
      </w:pPr>
      <w:r>
        <w:t>IAB interference managements</w:t>
      </w:r>
    </w:p>
    <w:p w14:paraId="476D1A78" w14:textId="56BF6B11" w:rsidR="00DB2605" w:rsidRDefault="00885733" w:rsidP="00885733">
      <w:pPr>
        <w:pStyle w:val="maintext"/>
        <w:ind w:firstLine="440"/>
      </w:pPr>
      <w:r>
        <w:rPr>
          <w:rFonts w:hint="eastAsia"/>
        </w:rPr>
        <w:t>T</w:t>
      </w:r>
      <w:r>
        <w:t xml:space="preserve">he following agreements and FFS points on IAB interference management had been made </w:t>
      </w:r>
      <w:r w:rsidR="00BE3B20">
        <w:fldChar w:fldCharType="begin"/>
      </w:r>
      <w:r w:rsidR="00BE3B20">
        <w:instrText xml:space="preserve"> REF _Ref61254254 \r \h </w:instrText>
      </w:r>
      <w:r w:rsidR="00BE3B20">
        <w:fldChar w:fldCharType="separate"/>
      </w:r>
      <w:r w:rsidR="00BE3B20">
        <w:t>[1]</w:t>
      </w:r>
      <w:r w:rsidR="00BE3B20">
        <w:fldChar w:fldCharType="end"/>
      </w:r>
      <w:r w:rsidR="00844A01">
        <w:t xml:space="preserve">, </w:t>
      </w:r>
      <w:r w:rsidR="00844A01">
        <w:fldChar w:fldCharType="begin"/>
      </w:r>
      <w:r w:rsidR="00844A01">
        <w:instrText xml:space="preserve"> REF _Ref71551419 \r \h </w:instrText>
      </w:r>
      <w:r w:rsidR="00844A01">
        <w:fldChar w:fldCharType="separate"/>
      </w:r>
      <w:r w:rsidR="00844A01">
        <w:t>[2]</w:t>
      </w:r>
      <w:r w:rsidR="00844A01">
        <w:fldChar w:fldCharType="end"/>
      </w:r>
      <w:r w:rsidR="00BE3B20">
        <w:t>:</w:t>
      </w:r>
    </w:p>
    <w:tbl>
      <w:tblPr>
        <w:tblStyle w:val="a6"/>
        <w:tblW w:w="0" w:type="auto"/>
        <w:tblLook w:val="04A0" w:firstRow="1" w:lastRow="0" w:firstColumn="1" w:lastColumn="0" w:noHBand="0" w:noVBand="1"/>
      </w:tblPr>
      <w:tblGrid>
        <w:gridCol w:w="9736"/>
      </w:tblGrid>
      <w:tr w:rsidR="009A76BB" w:rsidRPr="00361AC5" w14:paraId="0D5E511C" w14:textId="77777777" w:rsidTr="009A76BB">
        <w:tc>
          <w:tcPr>
            <w:tcW w:w="9736" w:type="dxa"/>
          </w:tcPr>
          <w:p w14:paraId="21F3ADA9" w14:textId="77777777" w:rsidR="009A76BB" w:rsidRPr="00A35E1D" w:rsidRDefault="009A76BB" w:rsidP="009A76BB">
            <w:pPr>
              <w:widowControl/>
              <w:wordWrap/>
              <w:autoSpaceDE/>
              <w:autoSpaceDN/>
              <w:spacing w:afterLines="0" w:after="0"/>
              <w:jc w:val="left"/>
              <w:rPr>
                <w:rFonts w:ascii="Times" w:eastAsia="Times New Roman" w:hAnsi="Times" w:cs="Times"/>
                <w:b/>
                <w:bCs/>
                <w:sz w:val="20"/>
                <w:szCs w:val="24"/>
                <w:highlight w:val="green"/>
                <w:lang w:eastAsia="en-US"/>
              </w:rPr>
            </w:pPr>
            <w:r w:rsidRPr="00A35E1D">
              <w:rPr>
                <w:rFonts w:ascii="Times" w:eastAsia="Times New Roman" w:hAnsi="Times" w:cs="Times"/>
                <w:b/>
                <w:bCs/>
                <w:sz w:val="20"/>
                <w:szCs w:val="24"/>
                <w:highlight w:val="green"/>
                <w:lang w:eastAsia="en-US"/>
              </w:rPr>
              <w:t>Agreement</w:t>
            </w:r>
          </w:p>
          <w:p w14:paraId="1C5A0317" w14:textId="77777777" w:rsidR="009A76BB" w:rsidRPr="00A35E1D" w:rsidRDefault="009A76BB" w:rsidP="009A76BB">
            <w:pPr>
              <w:widowControl/>
              <w:wordWrap/>
              <w:autoSpaceDE/>
              <w:autoSpaceDN/>
              <w:spacing w:afterLines="0" w:after="0"/>
              <w:jc w:val="left"/>
              <w:rPr>
                <w:rFonts w:ascii="Times" w:eastAsia="Calibri" w:hAnsi="Times" w:cs="Times"/>
                <w:color w:val="000000"/>
                <w:sz w:val="20"/>
                <w:szCs w:val="24"/>
                <w:lang w:eastAsia="en-US"/>
              </w:rPr>
            </w:pPr>
            <w:r w:rsidRPr="00A35E1D">
              <w:rPr>
                <w:rFonts w:ascii="Times" w:eastAsia="Calibri" w:hAnsi="Times" w:cs="Times"/>
                <w:color w:val="000000"/>
                <w:sz w:val="20"/>
                <w:szCs w:val="24"/>
                <w:lang w:eastAsia="en-US"/>
              </w:rPr>
              <w:t xml:space="preserve">Interference management for the following IAB interference scenarios should be discussed: </w:t>
            </w:r>
          </w:p>
          <w:p w14:paraId="443542E7" w14:textId="77777777" w:rsidR="009A76BB" w:rsidRPr="00A35E1D" w:rsidRDefault="009A76BB" w:rsidP="009A76BB">
            <w:pPr>
              <w:widowControl/>
              <w:numPr>
                <w:ilvl w:val="0"/>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 xml:space="preserve">Inter-IAB scenarios, including: </w:t>
            </w:r>
          </w:p>
          <w:p w14:paraId="4A545E93" w14:textId="77777777" w:rsidR="009A76BB" w:rsidRPr="00A35E1D" w:rsidRDefault="009A76BB" w:rsidP="009A76BB">
            <w:pPr>
              <w:widowControl/>
              <w:numPr>
                <w:ilvl w:val="1"/>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MT to MT, DU to DU, DU to MT, and MT to DU.</w:t>
            </w:r>
          </w:p>
          <w:p w14:paraId="21BD1242" w14:textId="77777777" w:rsidR="009A76BB" w:rsidRPr="00A35E1D" w:rsidRDefault="009A76BB" w:rsidP="009A76BB">
            <w:pPr>
              <w:widowControl/>
              <w:numPr>
                <w:ilvl w:val="0"/>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Interference to non-IAB nodes, including:</w:t>
            </w:r>
          </w:p>
          <w:p w14:paraId="6D72342F" w14:textId="77777777" w:rsidR="009A76BB" w:rsidRPr="00A35E1D" w:rsidRDefault="009A76BB" w:rsidP="009A76BB">
            <w:pPr>
              <w:widowControl/>
              <w:numPr>
                <w:ilvl w:val="1"/>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IAB-DU to non-IAB-DU</w:t>
            </w:r>
          </w:p>
          <w:p w14:paraId="5148D07B" w14:textId="77777777" w:rsidR="009A76BB" w:rsidRPr="00A35E1D" w:rsidRDefault="009A76BB" w:rsidP="009A76BB">
            <w:pPr>
              <w:widowControl/>
              <w:numPr>
                <w:ilvl w:val="1"/>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IAB-MT to non-IAB-DU</w:t>
            </w:r>
          </w:p>
          <w:p w14:paraId="7172DD9D" w14:textId="77777777" w:rsidR="009A76BB" w:rsidRPr="00A35E1D" w:rsidRDefault="009A76BB" w:rsidP="009A76BB">
            <w:pPr>
              <w:widowControl/>
              <w:numPr>
                <w:ilvl w:val="0"/>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Intra-IAB-node (self-interference) scenarios (Interference between a DU and MT of an IAB-node).</w:t>
            </w:r>
          </w:p>
          <w:p w14:paraId="5EACD58E" w14:textId="77777777" w:rsidR="009A76BB" w:rsidRPr="00A35E1D" w:rsidRDefault="009A76BB" w:rsidP="009A76BB">
            <w:pPr>
              <w:widowControl/>
              <w:wordWrap/>
              <w:autoSpaceDE/>
              <w:autoSpaceDN/>
              <w:spacing w:afterLines="0" w:after="0"/>
              <w:jc w:val="left"/>
              <w:rPr>
                <w:rFonts w:ascii="Times" w:eastAsia="Calibri" w:hAnsi="Times" w:cs="Times"/>
                <w:bCs/>
                <w:sz w:val="20"/>
                <w:szCs w:val="24"/>
                <w:lang w:eastAsia="en-US"/>
              </w:rPr>
            </w:pPr>
            <w:r w:rsidRPr="00A35E1D">
              <w:rPr>
                <w:rFonts w:ascii="Times" w:eastAsia="Calibri" w:hAnsi="Times" w:cs="Times"/>
                <w:bCs/>
                <w:sz w:val="20"/>
                <w:szCs w:val="24"/>
                <w:lang w:eastAsia="en-US"/>
              </w:rPr>
              <w:t>This agreement does not necessarily mean that specification support is needed for any of the scenarios.</w:t>
            </w:r>
          </w:p>
          <w:p w14:paraId="27899CCD" w14:textId="77777777" w:rsidR="009A76BB" w:rsidRPr="00A35E1D" w:rsidRDefault="009A76BB" w:rsidP="009A76BB">
            <w:pPr>
              <w:widowControl/>
              <w:wordWrap/>
              <w:autoSpaceDE/>
              <w:autoSpaceDN/>
              <w:spacing w:afterLines="0" w:after="0"/>
              <w:jc w:val="left"/>
              <w:rPr>
                <w:rFonts w:ascii="Times" w:eastAsia="바탕" w:hAnsi="Times" w:cs="Times"/>
                <w:sz w:val="20"/>
                <w:szCs w:val="24"/>
                <w:lang w:eastAsia="en-US"/>
              </w:rPr>
            </w:pPr>
          </w:p>
          <w:p w14:paraId="655133BF" w14:textId="77777777" w:rsidR="009A76BB" w:rsidRPr="00A35E1D" w:rsidRDefault="009A76BB" w:rsidP="009A76BB">
            <w:pPr>
              <w:widowControl/>
              <w:wordWrap/>
              <w:autoSpaceDE/>
              <w:autoSpaceDN/>
              <w:spacing w:afterLines="0" w:after="0"/>
              <w:jc w:val="left"/>
              <w:rPr>
                <w:rFonts w:ascii="Times" w:eastAsia="Times New Roman" w:hAnsi="Times" w:cs="Times"/>
                <w:b/>
                <w:bCs/>
                <w:sz w:val="20"/>
                <w:szCs w:val="24"/>
                <w:highlight w:val="green"/>
                <w:lang w:eastAsia="en-US"/>
              </w:rPr>
            </w:pPr>
            <w:r w:rsidRPr="00A35E1D">
              <w:rPr>
                <w:rFonts w:ascii="Times" w:eastAsia="Times New Roman" w:hAnsi="Times" w:cs="Times"/>
                <w:b/>
                <w:bCs/>
                <w:sz w:val="20"/>
                <w:szCs w:val="24"/>
                <w:highlight w:val="green"/>
                <w:lang w:eastAsia="en-US"/>
              </w:rPr>
              <w:t>Agreement</w:t>
            </w:r>
          </w:p>
          <w:p w14:paraId="773B06F7" w14:textId="77777777" w:rsidR="009A76BB" w:rsidRPr="00A35E1D" w:rsidRDefault="009A76BB" w:rsidP="009A76BB">
            <w:pPr>
              <w:widowControl/>
              <w:wordWrap/>
              <w:autoSpaceDE/>
              <w:autoSpaceDN/>
              <w:spacing w:afterLines="0" w:after="0"/>
              <w:jc w:val="left"/>
              <w:rPr>
                <w:rFonts w:ascii="Times" w:eastAsia="Calibri" w:hAnsi="Times" w:cs="Times"/>
                <w:bCs/>
                <w:sz w:val="20"/>
                <w:szCs w:val="24"/>
                <w:lang w:eastAsia="en-US"/>
              </w:rPr>
            </w:pPr>
            <w:r w:rsidRPr="00A35E1D">
              <w:rPr>
                <w:rFonts w:ascii="Times" w:eastAsia="Calibri" w:hAnsi="Times" w:cs="Times"/>
                <w:bCs/>
                <w:sz w:val="20"/>
                <w:szCs w:val="24"/>
                <w:lang w:eastAsia="en-US"/>
              </w:rPr>
              <w:t>Consider resource and beam coordination techniques to mitigate/avoid interference, including (not an exhaustive list):</w:t>
            </w:r>
          </w:p>
          <w:p w14:paraId="2E87371B" w14:textId="77777777" w:rsidR="009A76BB" w:rsidRPr="00A35E1D" w:rsidRDefault="009A76BB" w:rsidP="009A76BB">
            <w:pPr>
              <w:widowControl/>
              <w:numPr>
                <w:ilvl w:val="0"/>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 xml:space="preserve">FFS: whether or not to support IAB‐node (MT) transmissions in DL access slots </w:t>
            </w:r>
          </w:p>
          <w:p w14:paraId="1459C693" w14:textId="77777777" w:rsidR="009A76BB" w:rsidRPr="00A35E1D" w:rsidRDefault="009A76BB" w:rsidP="009A76BB">
            <w:pPr>
              <w:widowControl/>
              <w:numPr>
                <w:ilvl w:val="1"/>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FFS: if this has RAN1 impact or it can be handled by implementation.</w:t>
            </w:r>
          </w:p>
          <w:p w14:paraId="5323BEFB" w14:textId="77777777" w:rsidR="009A76BB" w:rsidRPr="00A35E1D" w:rsidRDefault="009A76BB" w:rsidP="009A76BB">
            <w:pPr>
              <w:widowControl/>
              <w:numPr>
                <w:ilvl w:val="1"/>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FFS: network coordination impact</w:t>
            </w:r>
          </w:p>
          <w:p w14:paraId="1D628B43" w14:textId="77777777" w:rsidR="009A76BB" w:rsidRPr="00A35E1D" w:rsidRDefault="009A76BB" w:rsidP="009A76BB">
            <w:pPr>
              <w:widowControl/>
              <w:numPr>
                <w:ilvl w:val="0"/>
                <w:numId w:val="10"/>
              </w:numPr>
              <w:wordWrap/>
              <w:autoSpaceDE/>
              <w:autoSpaceDN/>
              <w:spacing w:afterLines="0" w:after="0"/>
              <w:contextualSpacing/>
              <w:jc w:val="left"/>
              <w:textAlignment w:val="baseline"/>
              <w:rPr>
                <w:rFonts w:ascii="Times" w:eastAsia="Calibri" w:hAnsi="Times" w:cs="Times"/>
                <w:color w:val="000000"/>
                <w:sz w:val="20"/>
                <w:szCs w:val="24"/>
                <w:lang w:eastAsia="x-none"/>
              </w:rPr>
            </w:pPr>
            <w:r w:rsidRPr="00A35E1D">
              <w:rPr>
                <w:rFonts w:ascii="Times" w:eastAsia="Calibri" w:hAnsi="Times" w:cs="Times"/>
                <w:color w:val="000000"/>
                <w:sz w:val="20"/>
                <w:szCs w:val="24"/>
                <w:lang w:eastAsia="x-none"/>
              </w:rPr>
              <w:t>FFS: whether Rel-16 resource management framework is sufficient.</w:t>
            </w:r>
          </w:p>
          <w:p w14:paraId="02B6F541" w14:textId="77777777" w:rsidR="009A76BB" w:rsidRPr="00A35E1D" w:rsidRDefault="009A76BB" w:rsidP="001F6B73">
            <w:pPr>
              <w:spacing w:after="120"/>
              <w:rPr>
                <w:rFonts w:ascii="Times" w:eastAsia="SimSun" w:hAnsi="Times" w:cs="Times"/>
                <w:sz w:val="20"/>
              </w:rPr>
            </w:pPr>
          </w:p>
          <w:p w14:paraId="771C2C18" w14:textId="77777777" w:rsidR="00474D86" w:rsidRPr="00A35E1D" w:rsidRDefault="00474D86" w:rsidP="00474D86">
            <w:pPr>
              <w:widowControl/>
              <w:wordWrap/>
              <w:autoSpaceDE/>
              <w:autoSpaceDN/>
              <w:spacing w:afterLines="0" w:after="0"/>
              <w:jc w:val="left"/>
              <w:rPr>
                <w:rFonts w:ascii="Times" w:eastAsia="Times New Roman" w:hAnsi="Times" w:cs="Times"/>
                <w:sz w:val="20"/>
                <w:szCs w:val="24"/>
                <w:highlight w:val="green"/>
                <w:lang w:eastAsia="en-US"/>
              </w:rPr>
            </w:pPr>
            <w:r w:rsidRPr="00A35E1D">
              <w:rPr>
                <w:rFonts w:ascii="Times" w:eastAsia="Times New Roman" w:hAnsi="Times" w:cs="Times"/>
                <w:sz w:val="20"/>
                <w:szCs w:val="24"/>
                <w:highlight w:val="green"/>
                <w:lang w:eastAsia="en-US"/>
              </w:rPr>
              <w:t>Agreement</w:t>
            </w:r>
          </w:p>
          <w:p w14:paraId="0ED4887C" w14:textId="77777777" w:rsidR="00474D86" w:rsidRPr="00A35E1D" w:rsidRDefault="00474D86" w:rsidP="00474D86">
            <w:pPr>
              <w:widowControl/>
              <w:wordWrap/>
              <w:autoSpaceDE/>
              <w:autoSpaceDN/>
              <w:spacing w:afterLines="0" w:after="0"/>
              <w:jc w:val="left"/>
              <w:rPr>
                <w:rFonts w:ascii="Times" w:eastAsia="Calibri" w:hAnsi="Times" w:cs="Times"/>
                <w:sz w:val="20"/>
                <w:szCs w:val="24"/>
                <w:lang w:eastAsia="en-US"/>
              </w:rPr>
            </w:pPr>
            <w:r w:rsidRPr="00A35E1D">
              <w:rPr>
                <w:rFonts w:ascii="Times" w:eastAsia="Calibri" w:hAnsi="Times" w:cs="Times"/>
                <w:sz w:val="20"/>
                <w:szCs w:val="24"/>
                <w:lang w:eastAsia="en-US"/>
              </w:rPr>
              <w:t>Use the Rel-16 interference management frameworks (e.g. CLI, RIM) to handle IAB interference scenarios, and discuss if any of the following enhancements are needed (not an exhaustive list):</w:t>
            </w:r>
          </w:p>
          <w:p w14:paraId="0A84C8F4"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4"/>
                <w:lang w:eastAsia="x-none"/>
              </w:rPr>
            </w:pPr>
            <w:r w:rsidRPr="00A35E1D">
              <w:rPr>
                <w:rFonts w:ascii="Times" w:eastAsia="Calibri" w:hAnsi="Times" w:cs="Times"/>
                <w:bCs/>
                <w:sz w:val="20"/>
                <w:szCs w:val="24"/>
                <w:lang w:eastAsia="x-none"/>
              </w:rPr>
              <w:t>FFS: extend the information exchange (e.g. the resource configuration, result of CLI measurements, etc.) among different entities (e.g. between parent-child nodes, adjacent IAB nodes, between network and IAB-node, etc.)  </w:t>
            </w:r>
          </w:p>
          <w:p w14:paraId="231DEC32"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4"/>
                <w:lang w:eastAsia="x-none"/>
              </w:rPr>
            </w:pPr>
            <w:r w:rsidRPr="00A35E1D">
              <w:rPr>
                <w:rFonts w:ascii="Times" w:eastAsia="Calibri" w:hAnsi="Times" w:cs="Times"/>
                <w:bCs/>
                <w:sz w:val="20"/>
                <w:szCs w:val="24"/>
                <w:lang w:eastAsia="x-none"/>
              </w:rPr>
              <w:t>FFS: required enhancements on CLI measurement accuracy (e.g. via timing adjustment, etc.)</w:t>
            </w:r>
          </w:p>
          <w:p w14:paraId="4DFAEC71"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4"/>
                <w:lang w:eastAsia="x-none"/>
              </w:rPr>
            </w:pPr>
            <w:r w:rsidRPr="00A35E1D">
              <w:rPr>
                <w:rFonts w:ascii="Times" w:eastAsia="Calibri" w:hAnsi="Times" w:cs="Times"/>
                <w:bCs/>
                <w:sz w:val="20"/>
                <w:szCs w:val="24"/>
                <w:lang w:eastAsia="x-none"/>
              </w:rPr>
              <w:t>FFS: required enhancements on CLI measurements (e.g. introducing short-term measurements, multi-beam measurements, etc.)</w:t>
            </w:r>
          </w:p>
          <w:p w14:paraId="755EA86D" w14:textId="77777777" w:rsidR="00C449E4" w:rsidRPr="00A35E1D" w:rsidRDefault="00C449E4" w:rsidP="001F6B73">
            <w:pPr>
              <w:spacing w:after="120"/>
              <w:rPr>
                <w:rFonts w:ascii="Times" w:eastAsia="SimSun" w:hAnsi="Times" w:cs="Times"/>
                <w:sz w:val="20"/>
              </w:rPr>
            </w:pPr>
          </w:p>
          <w:p w14:paraId="5E87B57A" w14:textId="77777777" w:rsidR="00C449E4" w:rsidRPr="00C449E4" w:rsidRDefault="00C449E4" w:rsidP="00C449E4">
            <w:pPr>
              <w:widowControl/>
              <w:wordWrap/>
              <w:autoSpaceDE/>
              <w:autoSpaceDN/>
              <w:spacing w:afterLines="0" w:after="0"/>
              <w:jc w:val="left"/>
              <w:rPr>
                <w:rFonts w:ascii="Times" w:eastAsia="바탕" w:hAnsi="Times" w:cs="Times"/>
                <w:b/>
                <w:bCs/>
                <w:sz w:val="20"/>
                <w:szCs w:val="24"/>
                <w:lang w:val="en-GB" w:eastAsia="x-none"/>
              </w:rPr>
            </w:pPr>
            <w:r w:rsidRPr="00C449E4">
              <w:rPr>
                <w:rFonts w:ascii="Times" w:eastAsia="바탕" w:hAnsi="Times" w:cs="Times"/>
                <w:b/>
                <w:bCs/>
                <w:sz w:val="20"/>
                <w:szCs w:val="24"/>
                <w:lang w:val="en-GB" w:eastAsia="x-none"/>
              </w:rPr>
              <w:t>Conclusion</w:t>
            </w:r>
          </w:p>
          <w:p w14:paraId="1749EACF" w14:textId="77777777" w:rsidR="00C449E4" w:rsidRPr="00C449E4" w:rsidRDefault="00C449E4" w:rsidP="00C449E4">
            <w:pPr>
              <w:widowControl/>
              <w:wordWrap/>
              <w:autoSpaceDE/>
              <w:autoSpaceDN/>
              <w:spacing w:afterLines="0" w:after="0"/>
              <w:jc w:val="left"/>
              <w:rPr>
                <w:rFonts w:ascii="Calibri" w:eastAsia="Calibri" w:hAnsi="Calibri"/>
                <w:sz w:val="20"/>
                <w:szCs w:val="24"/>
                <w:lang w:val="en-GB" w:eastAsia="en-US"/>
              </w:rPr>
            </w:pPr>
            <w:r w:rsidRPr="00C449E4">
              <w:rPr>
                <w:rFonts w:ascii="Times" w:eastAsia="바탕" w:hAnsi="Times"/>
                <w:sz w:val="20"/>
                <w:szCs w:val="24"/>
                <w:lang w:val="en-GB" w:eastAsia="en-US"/>
              </w:rPr>
              <w:t xml:space="preserve">In Rel-17, RAN1 will not specify specific mechanisms for intra-IAB-node interference (self-interference) management. </w:t>
            </w:r>
          </w:p>
          <w:p w14:paraId="09C1B762" w14:textId="77777777" w:rsidR="00C449E4" w:rsidRPr="00844A01" w:rsidRDefault="00C449E4" w:rsidP="00C449E4">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 xml:space="preserve">Self-interference can be handled by the implementation or via using the available techniques defined, or to be defined in Rel-17, that can commonly be used for other interference scenarios as well. </w:t>
            </w:r>
          </w:p>
          <w:p w14:paraId="3032FA26" w14:textId="77777777" w:rsidR="00C449E4" w:rsidRPr="00C449E4" w:rsidRDefault="00C449E4" w:rsidP="001F6B73">
            <w:pPr>
              <w:spacing w:after="120"/>
              <w:rPr>
                <w:rFonts w:eastAsia="SimSun"/>
                <w:lang w:val="en-GB"/>
              </w:rPr>
            </w:pPr>
          </w:p>
          <w:p w14:paraId="1C412CBE" w14:textId="77777777" w:rsidR="00C449E4" w:rsidRPr="00C449E4" w:rsidRDefault="00C449E4" w:rsidP="00C449E4">
            <w:pPr>
              <w:widowControl/>
              <w:wordWrap/>
              <w:autoSpaceDE/>
              <w:autoSpaceDN/>
              <w:spacing w:afterLines="0" w:after="0"/>
              <w:jc w:val="left"/>
              <w:rPr>
                <w:rFonts w:ascii="Times" w:eastAsia="바탕" w:hAnsi="Times" w:cs="Times"/>
                <w:b/>
                <w:bCs/>
                <w:sz w:val="20"/>
                <w:szCs w:val="24"/>
                <w:highlight w:val="green"/>
                <w:lang w:val="en-GB" w:eastAsia="x-none"/>
              </w:rPr>
            </w:pPr>
            <w:r w:rsidRPr="00C449E4">
              <w:rPr>
                <w:rFonts w:ascii="Times" w:eastAsia="바탕" w:hAnsi="Times" w:cs="Times"/>
                <w:b/>
                <w:bCs/>
                <w:sz w:val="20"/>
                <w:szCs w:val="24"/>
                <w:highlight w:val="green"/>
                <w:lang w:val="en-GB" w:eastAsia="x-none"/>
              </w:rPr>
              <w:t>Agreement</w:t>
            </w:r>
          </w:p>
          <w:p w14:paraId="0B5E364A" w14:textId="77777777" w:rsidR="00C449E4" w:rsidRPr="00C449E4" w:rsidRDefault="00C449E4" w:rsidP="00C449E4">
            <w:pPr>
              <w:widowControl/>
              <w:wordWrap/>
              <w:autoSpaceDE/>
              <w:autoSpaceDN/>
              <w:spacing w:afterLines="0" w:after="0"/>
              <w:jc w:val="left"/>
              <w:rPr>
                <w:rFonts w:eastAsia="Calibri"/>
                <w:sz w:val="20"/>
                <w:szCs w:val="24"/>
                <w:lang w:val="en-GB" w:eastAsia="en-US"/>
              </w:rPr>
            </w:pPr>
            <w:r w:rsidRPr="00C449E4">
              <w:rPr>
                <w:rFonts w:ascii="Times" w:eastAsia="Calibri" w:hAnsi="Times"/>
                <w:sz w:val="20"/>
                <w:szCs w:val="24"/>
                <w:lang w:val="en-GB" w:eastAsia="en-US"/>
              </w:rPr>
              <w:lastRenderedPageBreak/>
              <w:t>RAN1 to select among the following options to support DU-to-DU measurement and report.</w:t>
            </w:r>
          </w:p>
          <w:p w14:paraId="38557060" w14:textId="77777777" w:rsidR="00C449E4" w:rsidRPr="00844A01" w:rsidRDefault="00C449E4" w:rsidP="00C449E4">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For DU-to-DU CLI measurement:</w:t>
            </w:r>
          </w:p>
          <w:p w14:paraId="40C4F542" w14:textId="77777777" w:rsidR="00C449E4" w:rsidRPr="00844A01" w:rsidRDefault="00C449E4" w:rsidP="00C449E4">
            <w:pPr>
              <w:widowControl/>
              <w:numPr>
                <w:ilvl w:val="1"/>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Option 1.1. no specific mechanism is specified (e.g., it is handled by the implementation, or the available techniques)</w:t>
            </w:r>
          </w:p>
          <w:p w14:paraId="5F01AB68" w14:textId="77777777" w:rsidR="00C449E4" w:rsidRPr="00844A01" w:rsidRDefault="00C449E4" w:rsidP="00C449E4">
            <w:pPr>
              <w:widowControl/>
              <w:numPr>
                <w:ilvl w:val="1"/>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Option 1.2. enhanced legacy DU-based measurement procedures (e.g., enhanced Rel-16 RIM)</w:t>
            </w:r>
          </w:p>
          <w:p w14:paraId="5E19AB17" w14:textId="77777777" w:rsidR="00C449E4" w:rsidRPr="00844A01" w:rsidRDefault="00C449E4" w:rsidP="00C449E4">
            <w:pPr>
              <w:widowControl/>
              <w:numPr>
                <w:ilvl w:val="1"/>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Option 1.3. enhanced MT-based measurements (e.g., MT-based CLI, MT RRM measurements)</w:t>
            </w:r>
          </w:p>
          <w:p w14:paraId="19C58A4B" w14:textId="77777777" w:rsidR="00C449E4" w:rsidRPr="00844A01" w:rsidRDefault="00C449E4" w:rsidP="00C449E4">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For DU-to-DU CLI report:</w:t>
            </w:r>
          </w:p>
          <w:p w14:paraId="4A57192A" w14:textId="77777777" w:rsidR="00C449E4" w:rsidRPr="00844A01" w:rsidRDefault="00C449E4" w:rsidP="00C449E4">
            <w:pPr>
              <w:widowControl/>
              <w:numPr>
                <w:ilvl w:val="1"/>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Option 2.1. no specific mechanism is specified (e.g., it is handled by the implementation, or the available techniques)</w:t>
            </w:r>
          </w:p>
          <w:p w14:paraId="0A6D49C3" w14:textId="77777777" w:rsidR="00C449E4" w:rsidRPr="00844A01" w:rsidRDefault="00C449E4" w:rsidP="00C449E4">
            <w:pPr>
              <w:widowControl/>
              <w:numPr>
                <w:ilvl w:val="1"/>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Option 2.2. enhanced legacy DU-based report (e.g., enhanced Rel-16 RIM)</w:t>
            </w:r>
          </w:p>
          <w:p w14:paraId="1DB367BA" w14:textId="77777777" w:rsidR="00C449E4" w:rsidRPr="00844A01" w:rsidRDefault="00C449E4" w:rsidP="00C449E4">
            <w:pPr>
              <w:widowControl/>
              <w:numPr>
                <w:ilvl w:val="1"/>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844A01">
              <w:rPr>
                <w:rFonts w:ascii="Times" w:eastAsia="Calibri" w:hAnsi="Times" w:cs="Times"/>
                <w:sz w:val="20"/>
                <w:szCs w:val="20"/>
                <w:lang w:val="en-GB" w:eastAsia="x-none"/>
              </w:rPr>
              <w:t>Option 2.3. enhanced MT-based report (e.g., MT-based CLI, MT RRM measurements)</w:t>
            </w:r>
          </w:p>
          <w:p w14:paraId="069F12A8" w14:textId="77777777" w:rsidR="00C449E4" w:rsidRPr="00C449E4" w:rsidRDefault="00C449E4" w:rsidP="00C449E4">
            <w:pPr>
              <w:widowControl/>
              <w:wordWrap/>
              <w:autoSpaceDE/>
              <w:autoSpaceDN/>
              <w:spacing w:afterLines="0" w:after="0"/>
              <w:jc w:val="left"/>
              <w:rPr>
                <w:rFonts w:ascii="Times" w:eastAsia="바탕" w:hAnsi="Times" w:cs="Times"/>
                <w:sz w:val="20"/>
                <w:szCs w:val="24"/>
                <w:lang w:val="en-GB" w:eastAsia="x-none"/>
              </w:rPr>
            </w:pPr>
          </w:p>
          <w:p w14:paraId="1F9B6078" w14:textId="77777777" w:rsidR="00C449E4" w:rsidRPr="00C449E4" w:rsidRDefault="00C449E4" w:rsidP="00C449E4">
            <w:pPr>
              <w:widowControl/>
              <w:wordWrap/>
              <w:autoSpaceDE/>
              <w:autoSpaceDN/>
              <w:spacing w:afterLines="0" w:after="0"/>
              <w:jc w:val="left"/>
              <w:rPr>
                <w:rFonts w:ascii="Times" w:eastAsia="바탕" w:hAnsi="Times" w:cs="Times"/>
                <w:b/>
                <w:bCs/>
                <w:sz w:val="20"/>
                <w:szCs w:val="24"/>
                <w:highlight w:val="green"/>
                <w:lang w:val="en-GB" w:eastAsia="x-none"/>
              </w:rPr>
            </w:pPr>
            <w:r w:rsidRPr="00C449E4">
              <w:rPr>
                <w:rFonts w:ascii="Times" w:eastAsia="바탕" w:hAnsi="Times" w:cs="Times"/>
                <w:b/>
                <w:bCs/>
                <w:sz w:val="20"/>
                <w:szCs w:val="24"/>
                <w:highlight w:val="green"/>
                <w:lang w:val="en-GB" w:eastAsia="x-none"/>
              </w:rPr>
              <w:t>Agreement</w:t>
            </w:r>
          </w:p>
          <w:p w14:paraId="26D0A03B" w14:textId="77777777" w:rsidR="00C449E4" w:rsidRPr="00C449E4" w:rsidRDefault="00C449E4" w:rsidP="00C449E4">
            <w:pPr>
              <w:widowControl/>
              <w:wordWrap/>
              <w:autoSpaceDE/>
              <w:autoSpaceDN/>
              <w:spacing w:afterLines="0" w:after="0"/>
              <w:jc w:val="left"/>
              <w:rPr>
                <w:rFonts w:eastAsia="Calibri"/>
                <w:sz w:val="20"/>
                <w:szCs w:val="24"/>
                <w:lang w:val="en-GB" w:eastAsia="en-US"/>
              </w:rPr>
            </w:pPr>
            <w:r w:rsidRPr="00C449E4">
              <w:rPr>
                <w:rFonts w:ascii="Times" w:eastAsia="Calibri" w:hAnsi="Times"/>
                <w:sz w:val="20"/>
                <w:szCs w:val="24"/>
                <w:lang w:val="en-GB" w:eastAsia="en-US"/>
              </w:rPr>
              <w:t>RAN1 to decide whether to enhance interference mitigation through information exchange to support beam-management at the parent or child node in RAN1#104bis-e</w:t>
            </w:r>
          </w:p>
          <w:p w14:paraId="2C9FB999" w14:textId="77777777" w:rsidR="00C449E4" w:rsidRPr="00844A01" w:rsidRDefault="00C449E4" w:rsidP="00C449E4">
            <w:pPr>
              <w:widowControl/>
              <w:numPr>
                <w:ilvl w:val="1"/>
                <w:numId w:val="14"/>
              </w:numPr>
              <w:wordWrap/>
              <w:autoSpaceDE/>
              <w:autoSpaceDN/>
              <w:spacing w:afterLines="0" w:after="0"/>
              <w:contextualSpacing/>
              <w:jc w:val="left"/>
              <w:textAlignment w:val="baseline"/>
              <w:rPr>
                <w:rFonts w:eastAsia="Calibri"/>
                <w:sz w:val="20"/>
                <w:szCs w:val="20"/>
                <w:lang w:val="en-GB" w:eastAsia="x-none"/>
              </w:rPr>
            </w:pPr>
            <w:r w:rsidRPr="00844A01">
              <w:rPr>
                <w:rFonts w:eastAsia="Calibri"/>
                <w:sz w:val="20"/>
                <w:szCs w:val="20"/>
                <w:lang w:val="en-GB" w:eastAsia="x-none"/>
              </w:rPr>
              <w:t>FFS: reporting of desired beams for reception in DL or desired beams for transmission in UL by the IAB node for a given multiplexing mode</w:t>
            </w:r>
          </w:p>
          <w:p w14:paraId="069FE4F9" w14:textId="77777777" w:rsidR="00C449E4" w:rsidRPr="00844A01" w:rsidRDefault="00C449E4" w:rsidP="00C449E4">
            <w:pPr>
              <w:widowControl/>
              <w:numPr>
                <w:ilvl w:val="1"/>
                <w:numId w:val="14"/>
              </w:numPr>
              <w:wordWrap/>
              <w:autoSpaceDE/>
              <w:autoSpaceDN/>
              <w:spacing w:afterLines="0" w:after="0"/>
              <w:contextualSpacing/>
              <w:jc w:val="left"/>
              <w:textAlignment w:val="baseline"/>
              <w:rPr>
                <w:rFonts w:ascii="Times" w:eastAsia="바탕" w:hAnsi="Times"/>
                <w:sz w:val="20"/>
                <w:szCs w:val="20"/>
                <w:lang w:val="en-GB" w:eastAsia="x-none"/>
              </w:rPr>
            </w:pPr>
            <w:r w:rsidRPr="00844A01">
              <w:rPr>
                <w:rFonts w:eastAsia="Calibri"/>
                <w:sz w:val="20"/>
                <w:szCs w:val="20"/>
                <w:lang w:val="en-GB" w:eastAsia="x-none"/>
              </w:rPr>
              <w:t>FFS: indicating applicable beams in DL or beams in UL for a given multiplexing mode.</w:t>
            </w:r>
          </w:p>
          <w:p w14:paraId="71BD7C81" w14:textId="2EB35F5E" w:rsidR="00C449E4" w:rsidRPr="00361AC5" w:rsidRDefault="00C449E4" w:rsidP="001F6B73">
            <w:pPr>
              <w:spacing w:after="120"/>
              <w:rPr>
                <w:rFonts w:eastAsia="SimSun"/>
              </w:rPr>
            </w:pPr>
          </w:p>
        </w:tc>
      </w:tr>
    </w:tbl>
    <w:p w14:paraId="0E7FADDF" w14:textId="4CC0645C" w:rsidR="00DB2605" w:rsidRDefault="00DB2605" w:rsidP="001F6B73">
      <w:pPr>
        <w:spacing w:after="120"/>
      </w:pPr>
    </w:p>
    <w:p w14:paraId="0BD6EECC" w14:textId="2FFDDA5F" w:rsidR="00024E0C" w:rsidRDefault="00F917B5" w:rsidP="00E3575E">
      <w:pPr>
        <w:pStyle w:val="maintext"/>
        <w:ind w:firstLine="440"/>
      </w:pPr>
      <w:r>
        <w:rPr>
          <w:rFonts w:hint="eastAsia"/>
        </w:rPr>
        <w:t>A</w:t>
      </w:r>
      <w:r>
        <w:t xml:space="preserve">s discussed in RAN1#103-e meeting, there are </w:t>
      </w:r>
      <w:r w:rsidR="00E3575E">
        <w:t xml:space="preserve">a number of possible pairs of IAB interference environments. </w:t>
      </w:r>
      <w:r w:rsidR="004F51FB">
        <w:t xml:space="preserve">Since we will </w:t>
      </w:r>
      <w:r w:rsidR="00DE4C23">
        <w:t>most likely</w:t>
      </w:r>
      <w:r w:rsidR="004F51FB">
        <w:t xml:space="preserve"> have legacy UEs, (Rel-16) IAB-DUs, and (Rel-16) IAB-MTs</w:t>
      </w:r>
      <w:r w:rsidR="00DE4C23">
        <w:t xml:space="preserve"> in such situations</w:t>
      </w:r>
      <w:r w:rsidR="004F51FB">
        <w:t xml:space="preserve">, </w:t>
      </w:r>
      <w:r w:rsidR="00867929">
        <w:t xml:space="preserve">it would be worth to </w:t>
      </w:r>
      <w:r w:rsidR="00A3557F">
        <w:t>categorize what kind of legacy configurations can be utilized. From our understanding, at least the following cases can be considered:</w:t>
      </w:r>
    </w:p>
    <w:p w14:paraId="48D15C73" w14:textId="77777777" w:rsidR="00A3557F" w:rsidRDefault="00A3557F" w:rsidP="00A3557F">
      <w:pPr>
        <w:pStyle w:val="a7"/>
        <w:numPr>
          <w:ilvl w:val="0"/>
          <w:numId w:val="12"/>
        </w:numPr>
        <w:spacing w:after="120"/>
        <w:ind w:leftChars="0"/>
      </w:pPr>
      <w:r>
        <w:rPr>
          <w:rFonts w:hint="eastAsia"/>
        </w:rPr>
        <w:t>C</w:t>
      </w:r>
      <w:r>
        <w:t xml:space="preserve">ase #1: </w:t>
      </w:r>
      <w:r w:rsidRPr="003F17DC">
        <w:t>IAB-node (MT) transmission in UL access slots</w:t>
      </w:r>
    </w:p>
    <w:p w14:paraId="22D485D1" w14:textId="77777777" w:rsidR="00A3557F" w:rsidRDefault="00A3557F" w:rsidP="00A3557F">
      <w:pPr>
        <w:pStyle w:val="a7"/>
        <w:numPr>
          <w:ilvl w:val="0"/>
          <w:numId w:val="12"/>
        </w:numPr>
        <w:spacing w:after="120"/>
        <w:ind w:leftChars="0"/>
      </w:pPr>
      <w:r>
        <w:rPr>
          <w:rFonts w:hint="eastAsia"/>
        </w:rPr>
        <w:t>C</w:t>
      </w:r>
      <w:r>
        <w:t xml:space="preserve">ase #2: </w:t>
      </w:r>
      <w:r w:rsidRPr="003F17DC">
        <w:t>IAB-node (MT) transmission in DL access slots</w:t>
      </w:r>
    </w:p>
    <w:p w14:paraId="4E1E54D4" w14:textId="77777777" w:rsidR="00A3557F" w:rsidRDefault="00A3557F" w:rsidP="00A3557F">
      <w:pPr>
        <w:pStyle w:val="a7"/>
        <w:numPr>
          <w:ilvl w:val="1"/>
          <w:numId w:val="12"/>
        </w:numPr>
        <w:spacing w:after="120"/>
        <w:ind w:leftChars="0"/>
      </w:pPr>
      <w:r>
        <w:rPr>
          <w:rFonts w:hint="eastAsia"/>
        </w:rPr>
        <w:t>C</w:t>
      </w:r>
      <w:r>
        <w:t xml:space="preserve">ase #2-1: </w:t>
      </w:r>
      <w:r w:rsidRPr="003F17DC">
        <w:t>At a given time instance (OFDM symbol(s)), MT is configured/indicated as “U” but UE is configured/indicated as “D”</w:t>
      </w:r>
    </w:p>
    <w:p w14:paraId="7CA921CD" w14:textId="77777777" w:rsidR="00A3557F" w:rsidRDefault="00A3557F" w:rsidP="00A3557F">
      <w:pPr>
        <w:pStyle w:val="a7"/>
        <w:numPr>
          <w:ilvl w:val="1"/>
          <w:numId w:val="12"/>
        </w:numPr>
        <w:spacing w:after="120"/>
        <w:ind w:leftChars="0"/>
      </w:pPr>
      <w:r>
        <w:t xml:space="preserve">Case #2-2: </w:t>
      </w:r>
      <w:r w:rsidRPr="003F17DC">
        <w:t>At a given time instance (OFDM symbol(s)), both MT and UE are configured/indicated as “D”</w:t>
      </w:r>
    </w:p>
    <w:p w14:paraId="7F82BF0A" w14:textId="77777777" w:rsidR="00A3557F" w:rsidRDefault="00A3557F" w:rsidP="00A3557F">
      <w:pPr>
        <w:pStyle w:val="a7"/>
        <w:numPr>
          <w:ilvl w:val="0"/>
          <w:numId w:val="12"/>
        </w:numPr>
        <w:spacing w:after="120"/>
        <w:ind w:leftChars="0"/>
      </w:pPr>
      <w:r>
        <w:rPr>
          <w:rFonts w:hint="eastAsia"/>
        </w:rPr>
        <w:t>C</w:t>
      </w:r>
      <w:r>
        <w:t xml:space="preserve">ase #3: </w:t>
      </w:r>
      <w:r w:rsidRPr="003F17DC">
        <w:t>IAB-node (DU) transmission in UL access slots (of MT)</w:t>
      </w:r>
    </w:p>
    <w:p w14:paraId="55E7CF5A" w14:textId="77777777" w:rsidR="00A3557F" w:rsidRDefault="00A3557F" w:rsidP="00A3557F">
      <w:pPr>
        <w:pStyle w:val="a7"/>
        <w:numPr>
          <w:ilvl w:val="0"/>
          <w:numId w:val="12"/>
        </w:numPr>
        <w:spacing w:after="120"/>
        <w:ind w:leftChars="0"/>
      </w:pPr>
      <w:r>
        <w:rPr>
          <w:rFonts w:hint="eastAsia"/>
        </w:rPr>
        <w:t>C</w:t>
      </w:r>
      <w:r>
        <w:t xml:space="preserve">ase #4: </w:t>
      </w:r>
      <w:r w:rsidRPr="003F17DC">
        <w:t>IAB-node (DU) transmission in DL access slots (of MT)</w:t>
      </w:r>
    </w:p>
    <w:p w14:paraId="38AF44AE" w14:textId="36EA9CB4" w:rsidR="00A3557F" w:rsidRPr="00A3557F" w:rsidRDefault="00A3557F" w:rsidP="00A3557F">
      <w:pPr>
        <w:pStyle w:val="maintext"/>
        <w:ind w:firstLineChars="0" w:firstLine="0"/>
        <w:rPr>
          <w:rFonts w:eastAsiaTheme="minorEastAsia"/>
          <w:lang w:val="en-US"/>
        </w:rPr>
      </w:pPr>
    </w:p>
    <w:p w14:paraId="618A88E5" w14:textId="48EEDCEA" w:rsidR="00A3557F" w:rsidRDefault="000B1076" w:rsidP="00E3575E">
      <w:pPr>
        <w:pStyle w:val="maintext"/>
        <w:ind w:firstLine="440"/>
        <w:rPr>
          <w:rFonts w:eastAsiaTheme="minorEastAsia"/>
        </w:rPr>
      </w:pPr>
      <w:r>
        <w:rPr>
          <w:rFonts w:eastAsiaTheme="minorEastAsia"/>
        </w:rPr>
        <w:t>Case #1 is naturally supported by the current specifications. Case #1 covers “MT to DU” interference scenarios</w:t>
      </w:r>
      <w:r w:rsidR="00026864">
        <w:rPr>
          <w:rFonts w:eastAsiaTheme="minorEastAsia"/>
        </w:rPr>
        <w:t xml:space="preserve"> and used to be handled by </w:t>
      </w:r>
      <w:proofErr w:type="spellStart"/>
      <w:r w:rsidR="00026864">
        <w:rPr>
          <w:rFonts w:eastAsiaTheme="minorEastAsia"/>
        </w:rPr>
        <w:t>gNB</w:t>
      </w:r>
      <w:proofErr w:type="spellEnd"/>
      <w:r w:rsidR="00CE3F8A">
        <w:rPr>
          <w:rFonts w:eastAsiaTheme="minorEastAsia"/>
        </w:rPr>
        <w:t xml:space="preserve"> (DU)</w:t>
      </w:r>
      <w:r w:rsidR="00026864">
        <w:rPr>
          <w:rFonts w:eastAsiaTheme="minorEastAsia"/>
        </w:rPr>
        <w:t xml:space="preserve"> implementations.</w:t>
      </w:r>
    </w:p>
    <w:p w14:paraId="5E52F652" w14:textId="3284EE45" w:rsidR="00FE62AC" w:rsidRDefault="00B06981" w:rsidP="00E3575E">
      <w:pPr>
        <w:pStyle w:val="maintext"/>
        <w:ind w:firstLine="440"/>
        <w:rPr>
          <w:rFonts w:eastAsiaTheme="minorEastAsia"/>
        </w:rPr>
      </w:pPr>
      <w:r>
        <w:rPr>
          <w:rFonts w:eastAsiaTheme="minorEastAsia"/>
        </w:rPr>
        <w:t xml:space="preserve">Case #2 covers “MT to MT” or “MT to UE” interference scenarios. </w:t>
      </w:r>
      <w:r w:rsidR="00026864">
        <w:rPr>
          <w:rFonts w:eastAsiaTheme="minorEastAsia"/>
        </w:rPr>
        <w:t xml:space="preserve">Case #2 can be configured by one of the following two options. The first </w:t>
      </w:r>
      <w:r w:rsidR="00C62708">
        <w:rPr>
          <w:rFonts w:eastAsiaTheme="minorEastAsia"/>
        </w:rPr>
        <w:t>method</w:t>
      </w:r>
      <w:r w:rsidR="00026864">
        <w:rPr>
          <w:rFonts w:eastAsiaTheme="minorEastAsia"/>
        </w:rPr>
        <w:t xml:space="preserve"> (Case #2-1) </w:t>
      </w:r>
      <w:r w:rsidR="00D247B0">
        <w:rPr>
          <w:rFonts w:eastAsiaTheme="minorEastAsia"/>
        </w:rPr>
        <w:t xml:space="preserve">is to configure/indicate “U” for </w:t>
      </w:r>
      <w:r w:rsidR="001A1CD6">
        <w:rPr>
          <w:rFonts w:eastAsiaTheme="minorEastAsia"/>
        </w:rPr>
        <w:t xml:space="preserve">an </w:t>
      </w:r>
      <w:r w:rsidR="00D247B0">
        <w:rPr>
          <w:rFonts w:eastAsiaTheme="minorEastAsia"/>
        </w:rPr>
        <w:t>IAB-MT and to configure/indicate “D” for normal UEs</w:t>
      </w:r>
      <w:r w:rsidR="001A1CD6">
        <w:rPr>
          <w:rFonts w:eastAsiaTheme="minorEastAsia"/>
        </w:rPr>
        <w:t xml:space="preserve"> or another IAB-node</w:t>
      </w:r>
      <w:r w:rsidR="00D247B0">
        <w:rPr>
          <w:rFonts w:eastAsiaTheme="minorEastAsia"/>
        </w:rPr>
        <w:t xml:space="preserve"> at a given time instance. </w:t>
      </w:r>
      <w:r w:rsidR="005A5A4B">
        <w:rPr>
          <w:rFonts w:eastAsiaTheme="minorEastAsia"/>
        </w:rPr>
        <w:t>Although case #2-1 can be done via proper dedicated DL-UL configurations</w:t>
      </w:r>
      <w:r w:rsidR="002F3C79">
        <w:rPr>
          <w:rFonts w:eastAsiaTheme="minorEastAsia"/>
        </w:rPr>
        <w:t xml:space="preserve">, there has been no </w:t>
      </w:r>
      <w:r w:rsidR="0039242F">
        <w:rPr>
          <w:rFonts w:eastAsiaTheme="minorEastAsia"/>
        </w:rPr>
        <w:t>implementation practices for this case</w:t>
      </w:r>
      <w:r w:rsidR="005A5A4B">
        <w:rPr>
          <w:rFonts w:eastAsiaTheme="minorEastAsia"/>
        </w:rPr>
        <w:t xml:space="preserve">. </w:t>
      </w:r>
      <w:r w:rsidR="00FE62AC">
        <w:rPr>
          <w:rFonts w:eastAsiaTheme="minorEastAsia"/>
        </w:rPr>
        <w:t>Note that such misalignments of transmission/reception directions are not matched with GSMA recommendations. The second method (Case #2-2) is to configure/indicate “D” for an IAB-MT and to configure/indicate “D” for normal UEs or another IAB-node at a given time instance.</w:t>
      </w:r>
      <w:r w:rsidR="00FA3E59">
        <w:rPr>
          <w:rFonts w:eastAsiaTheme="minorEastAsia"/>
        </w:rPr>
        <w:t xml:space="preserve"> However, if an OFDM symbol is configured/indicated as “D”</w:t>
      </w:r>
      <w:r w:rsidR="00FE62AC">
        <w:rPr>
          <w:rFonts w:eastAsiaTheme="minorEastAsia"/>
        </w:rPr>
        <w:t xml:space="preserve">, </w:t>
      </w:r>
      <w:r w:rsidR="0074205C">
        <w:rPr>
          <w:rFonts w:eastAsiaTheme="minorEastAsia"/>
        </w:rPr>
        <w:t>the IAB-MT does not consider th</w:t>
      </w:r>
      <w:r w:rsidR="00FA3E59">
        <w:rPr>
          <w:rFonts w:eastAsiaTheme="minorEastAsia"/>
        </w:rPr>
        <w:t>at</w:t>
      </w:r>
      <w:r w:rsidR="0074205C">
        <w:rPr>
          <w:rFonts w:eastAsiaTheme="minorEastAsia"/>
        </w:rPr>
        <w:t xml:space="preserve"> OFDM symbol as a valid UL symbol,</w:t>
      </w:r>
      <w:r w:rsidR="00FA3E59">
        <w:rPr>
          <w:rFonts w:eastAsiaTheme="minorEastAsia"/>
        </w:rPr>
        <w:t xml:space="preserve"> and does not transmit any signal on the symbol.</w:t>
      </w:r>
      <w:r w:rsidR="0074205C">
        <w:rPr>
          <w:rFonts w:eastAsiaTheme="minorEastAsia"/>
        </w:rPr>
        <w:t xml:space="preserve"> </w:t>
      </w:r>
      <w:r w:rsidR="0070628D">
        <w:rPr>
          <w:rFonts w:eastAsiaTheme="minorEastAsia"/>
        </w:rPr>
        <w:t xml:space="preserve">Therefore, an explicit signalling </w:t>
      </w:r>
      <w:r w:rsidR="00EA2A3B">
        <w:rPr>
          <w:rFonts w:eastAsiaTheme="minorEastAsia"/>
        </w:rPr>
        <w:t xml:space="preserve">needs to be introduced to enable case #2-2. </w:t>
      </w:r>
      <w:r w:rsidR="00781E05">
        <w:rPr>
          <w:rFonts w:eastAsiaTheme="minorEastAsia"/>
        </w:rPr>
        <w:t>For both case #2-1 and #2-2</w:t>
      </w:r>
      <w:r w:rsidR="006A683A">
        <w:rPr>
          <w:rFonts w:eastAsiaTheme="minorEastAsia"/>
        </w:rPr>
        <w:t xml:space="preserve"> (if one of them is supported)</w:t>
      </w:r>
      <w:r w:rsidR="00781E05">
        <w:rPr>
          <w:rFonts w:eastAsiaTheme="minorEastAsia"/>
        </w:rPr>
        <w:t>,</w:t>
      </w:r>
      <w:r w:rsidR="00657D0F">
        <w:rPr>
          <w:rFonts w:eastAsiaTheme="minorEastAsia"/>
        </w:rPr>
        <w:t xml:space="preserve"> it is required to consider</w:t>
      </w:r>
      <w:r w:rsidR="00781E05">
        <w:rPr>
          <w:rFonts w:eastAsiaTheme="minorEastAsia"/>
        </w:rPr>
        <w:t xml:space="preserve"> </w:t>
      </w:r>
      <w:r w:rsidR="00657D0F">
        <w:rPr>
          <w:rFonts w:eastAsiaTheme="minorEastAsia"/>
        </w:rPr>
        <w:t xml:space="preserve">symbol-level UL rate-matching or cancellation pattern to reduce UE’s (or MT’s) receiver complexity. </w:t>
      </w:r>
    </w:p>
    <w:p w14:paraId="5028ACCF" w14:textId="0FBAC3EB" w:rsidR="005035B1" w:rsidRDefault="001F34D0" w:rsidP="00E3575E">
      <w:pPr>
        <w:pStyle w:val="maintext"/>
        <w:ind w:firstLine="440"/>
        <w:rPr>
          <w:rFonts w:eastAsiaTheme="minorEastAsia"/>
        </w:rPr>
      </w:pPr>
      <w:r>
        <w:rPr>
          <w:rFonts w:eastAsiaTheme="minorEastAsia"/>
        </w:rPr>
        <w:lastRenderedPageBreak/>
        <w:t xml:space="preserve">Case #3 covers “DU to </w:t>
      </w:r>
      <w:r w:rsidR="005D6DB1">
        <w:rPr>
          <w:rFonts w:eastAsiaTheme="minorEastAsia"/>
        </w:rPr>
        <w:t>DU</w:t>
      </w:r>
      <w:r>
        <w:rPr>
          <w:rFonts w:eastAsiaTheme="minorEastAsia"/>
        </w:rPr>
        <w:t xml:space="preserve">” interference scenarios. </w:t>
      </w:r>
      <w:r w:rsidR="005D6DB1">
        <w:rPr>
          <w:rFonts w:eastAsiaTheme="minorEastAsia"/>
        </w:rPr>
        <w:t>In c</w:t>
      </w:r>
      <w:r>
        <w:rPr>
          <w:rFonts w:eastAsiaTheme="minorEastAsia"/>
        </w:rPr>
        <w:t>ase #</w:t>
      </w:r>
      <w:r w:rsidR="005D6DB1">
        <w:rPr>
          <w:rFonts w:eastAsiaTheme="minorEastAsia"/>
        </w:rPr>
        <w:t>3,</w:t>
      </w:r>
      <w:r>
        <w:rPr>
          <w:rFonts w:eastAsiaTheme="minorEastAsia"/>
        </w:rPr>
        <w:t xml:space="preserve"> </w:t>
      </w:r>
      <w:r w:rsidR="005D6DB1">
        <w:rPr>
          <w:rFonts w:eastAsiaTheme="minorEastAsia"/>
        </w:rPr>
        <w:t>the IAB-MT can be</w:t>
      </w:r>
      <w:r>
        <w:rPr>
          <w:rFonts w:eastAsiaTheme="minorEastAsia"/>
        </w:rPr>
        <w:t xml:space="preserve"> configure</w:t>
      </w:r>
      <w:r w:rsidR="005D6DB1">
        <w:rPr>
          <w:rFonts w:eastAsiaTheme="minorEastAsia"/>
        </w:rPr>
        <w:t>d</w:t>
      </w:r>
      <w:r>
        <w:rPr>
          <w:rFonts w:eastAsiaTheme="minorEastAsia"/>
        </w:rPr>
        <w:t>/indicate</w:t>
      </w:r>
      <w:r w:rsidR="005D6DB1">
        <w:rPr>
          <w:rFonts w:eastAsiaTheme="minorEastAsia"/>
        </w:rPr>
        <w:t>d as</w:t>
      </w:r>
      <w:r>
        <w:rPr>
          <w:rFonts w:eastAsiaTheme="minorEastAsia"/>
        </w:rPr>
        <w:t xml:space="preserve"> “U” </w:t>
      </w:r>
      <w:r w:rsidR="005D6DB1">
        <w:rPr>
          <w:rFonts w:eastAsiaTheme="minorEastAsia"/>
        </w:rPr>
        <w:t>but the IAB-DU</w:t>
      </w:r>
      <w:r>
        <w:rPr>
          <w:rFonts w:eastAsiaTheme="minorEastAsia"/>
        </w:rPr>
        <w:t xml:space="preserve"> </w:t>
      </w:r>
      <w:r w:rsidR="005D6DB1">
        <w:rPr>
          <w:rFonts w:eastAsiaTheme="minorEastAsia"/>
        </w:rPr>
        <w:t>can be</w:t>
      </w:r>
      <w:r>
        <w:rPr>
          <w:rFonts w:eastAsiaTheme="minorEastAsia"/>
        </w:rPr>
        <w:t xml:space="preserve"> configure</w:t>
      </w:r>
      <w:r w:rsidR="005D6DB1">
        <w:rPr>
          <w:rFonts w:eastAsiaTheme="minorEastAsia"/>
        </w:rPr>
        <w:t>d</w:t>
      </w:r>
      <w:r>
        <w:rPr>
          <w:rFonts w:eastAsiaTheme="minorEastAsia"/>
        </w:rPr>
        <w:t>/indicate</w:t>
      </w:r>
      <w:r w:rsidR="005D6DB1">
        <w:rPr>
          <w:rFonts w:eastAsiaTheme="minorEastAsia"/>
        </w:rPr>
        <w:t>d as</w:t>
      </w:r>
      <w:r>
        <w:rPr>
          <w:rFonts w:eastAsiaTheme="minorEastAsia"/>
        </w:rPr>
        <w:t xml:space="preserve"> “D” at a given time instance. Although case #</w:t>
      </w:r>
      <w:r w:rsidR="00F72F9E">
        <w:rPr>
          <w:rFonts w:eastAsiaTheme="minorEastAsia"/>
        </w:rPr>
        <w:t>3</w:t>
      </w:r>
      <w:r>
        <w:rPr>
          <w:rFonts w:eastAsiaTheme="minorEastAsia"/>
        </w:rPr>
        <w:t xml:space="preserve"> </w:t>
      </w:r>
      <w:r w:rsidR="005035B1">
        <w:rPr>
          <w:rFonts w:eastAsiaTheme="minorEastAsia"/>
        </w:rPr>
        <w:t>has no issue from configuration perspectives, as aforementioned such misalignments of transmission/reception directions are not matched with GSMA recommendations.</w:t>
      </w:r>
      <w:r w:rsidR="006944B4">
        <w:rPr>
          <w:rFonts w:eastAsiaTheme="minorEastAsia"/>
        </w:rPr>
        <w:t xml:space="preserve"> </w:t>
      </w:r>
      <w:r w:rsidR="004C379C">
        <w:rPr>
          <w:rFonts w:eastAsiaTheme="minorEastAsia"/>
        </w:rPr>
        <w:t>In this case, a certain level of DL power control can be a candidate to reduce DU’s receiver complexity and the potential impacts on legacy/non-IAB networks.</w:t>
      </w:r>
    </w:p>
    <w:p w14:paraId="0AFAD52F" w14:textId="63F796A9" w:rsidR="004C379C" w:rsidRDefault="00694D89" w:rsidP="00E3575E">
      <w:pPr>
        <w:pStyle w:val="maintext"/>
        <w:ind w:firstLine="440"/>
        <w:rPr>
          <w:rFonts w:eastAsiaTheme="minorEastAsia"/>
        </w:rPr>
      </w:pPr>
      <w:r>
        <w:rPr>
          <w:rFonts w:eastAsiaTheme="minorEastAsia" w:hint="eastAsia"/>
        </w:rPr>
        <w:t>C</w:t>
      </w:r>
      <w:r>
        <w:rPr>
          <w:rFonts w:eastAsiaTheme="minorEastAsia"/>
        </w:rPr>
        <w:t xml:space="preserve">ase #4 covers “DU to MT” interference scenarios. </w:t>
      </w:r>
      <w:r w:rsidR="009204DD">
        <w:rPr>
          <w:rFonts w:eastAsiaTheme="minorEastAsia"/>
        </w:rPr>
        <w:t xml:space="preserve">Case #4 has no issue from configuration perspectives, as well. </w:t>
      </w:r>
      <w:r w:rsidR="007B1B3F">
        <w:rPr>
          <w:rFonts w:eastAsiaTheme="minorEastAsia"/>
        </w:rPr>
        <w:t xml:space="preserve">However, the self-interference in intra-IAB-node scenario may not be marginal for low-cost implementations and a certain level of DL power control can be helpful to enable simultaneous operations even for such simple IAB-nodes. </w:t>
      </w:r>
    </w:p>
    <w:p w14:paraId="731169D5" w14:textId="3A1D1AFD" w:rsidR="00024E0C" w:rsidRPr="004F51FB" w:rsidRDefault="00024E0C" w:rsidP="001F6B73">
      <w:pPr>
        <w:spacing w:after="120"/>
        <w:rPr>
          <w:lang w:val="en-GB"/>
        </w:rPr>
      </w:pPr>
    </w:p>
    <w:p w14:paraId="09A14065" w14:textId="73DAD1BC" w:rsidR="00BE5150" w:rsidRPr="00C12E6D" w:rsidRDefault="00BE5150" w:rsidP="001F6B73">
      <w:pPr>
        <w:spacing w:after="120"/>
        <w:rPr>
          <w:b/>
        </w:rPr>
      </w:pPr>
      <w:r w:rsidRPr="00C12E6D">
        <w:rPr>
          <w:rFonts w:hint="eastAsia"/>
          <w:b/>
        </w:rPr>
        <w:t>O</w:t>
      </w:r>
      <w:r w:rsidRPr="00C12E6D">
        <w:rPr>
          <w:b/>
        </w:rPr>
        <w:t>bservation 1: The following cases can be clarified for ease of IAB interference management discussions.</w:t>
      </w:r>
    </w:p>
    <w:p w14:paraId="2CAD0994" w14:textId="5684E76E" w:rsidR="00BE5150" w:rsidRPr="00C12E6D" w:rsidRDefault="003F17DC" w:rsidP="000B33C3">
      <w:pPr>
        <w:pStyle w:val="a7"/>
        <w:numPr>
          <w:ilvl w:val="0"/>
          <w:numId w:val="12"/>
        </w:numPr>
        <w:spacing w:after="120"/>
        <w:ind w:leftChars="0"/>
        <w:rPr>
          <w:b/>
        </w:rPr>
      </w:pPr>
      <w:r w:rsidRPr="00C12E6D">
        <w:rPr>
          <w:rFonts w:hint="eastAsia"/>
          <w:b/>
        </w:rPr>
        <w:t>C</w:t>
      </w:r>
      <w:r w:rsidRPr="00C12E6D">
        <w:rPr>
          <w:b/>
        </w:rPr>
        <w:t>ase #1: IAB-node (MT) transmission in UL access slots</w:t>
      </w:r>
    </w:p>
    <w:p w14:paraId="43AF4512" w14:textId="380B1B8B" w:rsidR="003F17DC" w:rsidRPr="00C12E6D" w:rsidRDefault="003F17DC" w:rsidP="000B33C3">
      <w:pPr>
        <w:pStyle w:val="a7"/>
        <w:numPr>
          <w:ilvl w:val="0"/>
          <w:numId w:val="12"/>
        </w:numPr>
        <w:spacing w:after="120"/>
        <w:ind w:leftChars="0"/>
        <w:rPr>
          <w:b/>
        </w:rPr>
      </w:pPr>
      <w:r w:rsidRPr="00C12E6D">
        <w:rPr>
          <w:rFonts w:hint="eastAsia"/>
          <w:b/>
        </w:rPr>
        <w:t>C</w:t>
      </w:r>
      <w:r w:rsidRPr="00C12E6D">
        <w:rPr>
          <w:b/>
        </w:rPr>
        <w:t>ase #2: IAB-node (MT) transmission in DL access slots</w:t>
      </w:r>
    </w:p>
    <w:p w14:paraId="1D2C8774" w14:textId="13EB611D" w:rsidR="003F17DC" w:rsidRPr="00C12E6D" w:rsidRDefault="003F17DC" w:rsidP="003F17DC">
      <w:pPr>
        <w:pStyle w:val="a7"/>
        <w:numPr>
          <w:ilvl w:val="1"/>
          <w:numId w:val="12"/>
        </w:numPr>
        <w:spacing w:after="120"/>
        <w:ind w:leftChars="0"/>
        <w:rPr>
          <w:b/>
        </w:rPr>
      </w:pPr>
      <w:r w:rsidRPr="00C12E6D">
        <w:rPr>
          <w:rFonts w:hint="eastAsia"/>
          <w:b/>
        </w:rPr>
        <w:t>C</w:t>
      </w:r>
      <w:r w:rsidRPr="00C12E6D">
        <w:rPr>
          <w:b/>
        </w:rPr>
        <w:t>ase #2-1: At a given time instance (OFDM symbol(s)), MT is configured/indicated as “U” but UE is configured/indicated as “D”</w:t>
      </w:r>
    </w:p>
    <w:p w14:paraId="4F1B42F9" w14:textId="14338E6A" w:rsidR="003F17DC" w:rsidRPr="00C12E6D" w:rsidRDefault="003F17DC" w:rsidP="003F17DC">
      <w:pPr>
        <w:pStyle w:val="a7"/>
        <w:numPr>
          <w:ilvl w:val="1"/>
          <w:numId w:val="12"/>
        </w:numPr>
        <w:spacing w:after="120"/>
        <w:ind w:leftChars="0"/>
        <w:rPr>
          <w:b/>
        </w:rPr>
      </w:pPr>
      <w:r w:rsidRPr="00C12E6D">
        <w:rPr>
          <w:b/>
        </w:rPr>
        <w:t>Case #2-2: At a given time instance (OFDM symbol(s)), both MT and UE are configured/indicated as “D”</w:t>
      </w:r>
    </w:p>
    <w:p w14:paraId="12DB11D2" w14:textId="3E871176" w:rsidR="003F17DC" w:rsidRPr="00C12E6D" w:rsidRDefault="003F17DC" w:rsidP="000B33C3">
      <w:pPr>
        <w:pStyle w:val="a7"/>
        <w:numPr>
          <w:ilvl w:val="0"/>
          <w:numId w:val="12"/>
        </w:numPr>
        <w:spacing w:after="120"/>
        <w:ind w:leftChars="0"/>
        <w:rPr>
          <w:b/>
        </w:rPr>
      </w:pPr>
      <w:r w:rsidRPr="00C12E6D">
        <w:rPr>
          <w:rFonts w:hint="eastAsia"/>
          <w:b/>
        </w:rPr>
        <w:t>C</w:t>
      </w:r>
      <w:r w:rsidRPr="00C12E6D">
        <w:rPr>
          <w:b/>
        </w:rPr>
        <w:t>ase #3: IAB-node (DU) transmission in UL access slots (of MT)</w:t>
      </w:r>
    </w:p>
    <w:p w14:paraId="5EB5BACD" w14:textId="1533E624" w:rsidR="003F17DC" w:rsidRPr="00C12E6D" w:rsidRDefault="003F17DC" w:rsidP="000B33C3">
      <w:pPr>
        <w:pStyle w:val="a7"/>
        <w:numPr>
          <w:ilvl w:val="0"/>
          <w:numId w:val="12"/>
        </w:numPr>
        <w:spacing w:after="120"/>
        <w:ind w:leftChars="0"/>
        <w:rPr>
          <w:b/>
        </w:rPr>
      </w:pPr>
      <w:r w:rsidRPr="00C12E6D">
        <w:rPr>
          <w:rFonts w:hint="eastAsia"/>
          <w:b/>
        </w:rPr>
        <w:t>C</w:t>
      </w:r>
      <w:r w:rsidRPr="00C12E6D">
        <w:rPr>
          <w:b/>
        </w:rPr>
        <w:t>ase #4: IAB-node (DU) transmission in DL access slots (of MT)</w:t>
      </w:r>
    </w:p>
    <w:p w14:paraId="6F653D18" w14:textId="055540C5" w:rsidR="00BE5150" w:rsidRDefault="00BE5150" w:rsidP="001F6B73">
      <w:pPr>
        <w:spacing w:after="120"/>
      </w:pPr>
    </w:p>
    <w:p w14:paraId="20BEB079" w14:textId="375706A6" w:rsidR="00350CC5" w:rsidRPr="00C12E6D" w:rsidRDefault="00350CC5" w:rsidP="00C12E6D">
      <w:pPr>
        <w:spacing w:after="120"/>
        <w:ind w:left="330" w:hangingChars="150" w:hanging="330"/>
        <w:rPr>
          <w:b/>
        </w:rPr>
      </w:pPr>
      <w:r w:rsidRPr="00C12E6D">
        <w:rPr>
          <w:b/>
        </w:rPr>
        <w:t>Proposal 1</w:t>
      </w:r>
      <w:r w:rsidR="00BE5150" w:rsidRPr="00C12E6D">
        <w:rPr>
          <w:b/>
        </w:rPr>
        <w:t xml:space="preserve">: </w:t>
      </w:r>
      <w:r w:rsidRPr="00C12E6D">
        <w:rPr>
          <w:b/>
        </w:rPr>
        <w:t xml:space="preserve">For case #2, </w:t>
      </w:r>
      <w:r w:rsidR="007B1B3F" w:rsidRPr="00C12E6D">
        <w:rPr>
          <w:b/>
        </w:rPr>
        <w:t>a</w:t>
      </w:r>
      <w:r w:rsidRPr="00C12E6D">
        <w:rPr>
          <w:b/>
        </w:rPr>
        <w:t xml:space="preserve"> symbol-level UL rate-matching/cancellation pattern can be considered for MT’s UL slots.</w:t>
      </w:r>
    </w:p>
    <w:p w14:paraId="0746CE98" w14:textId="0C51C09D" w:rsidR="00350CC5" w:rsidRPr="00C12E6D" w:rsidRDefault="00350CC5" w:rsidP="00C12E6D">
      <w:pPr>
        <w:spacing w:after="120"/>
        <w:ind w:left="330" w:hangingChars="150" w:hanging="330"/>
        <w:rPr>
          <w:b/>
        </w:rPr>
      </w:pPr>
      <w:r w:rsidRPr="00C12E6D">
        <w:rPr>
          <w:rFonts w:hint="eastAsia"/>
          <w:b/>
        </w:rPr>
        <w:t>P</w:t>
      </w:r>
      <w:r w:rsidRPr="00C12E6D">
        <w:rPr>
          <w:b/>
        </w:rPr>
        <w:t>roposal 2: For case #2-2, an explicit signaling to permit transmission of IAB-MT in DL slots can be introduced.</w:t>
      </w:r>
    </w:p>
    <w:p w14:paraId="685EDF25" w14:textId="6B5CC827" w:rsidR="00350CC5" w:rsidRPr="00C12E6D" w:rsidRDefault="00350CC5" w:rsidP="001F6B73">
      <w:pPr>
        <w:spacing w:after="120"/>
        <w:rPr>
          <w:b/>
        </w:rPr>
      </w:pPr>
      <w:r w:rsidRPr="00C12E6D">
        <w:rPr>
          <w:rFonts w:hint="eastAsia"/>
          <w:b/>
        </w:rPr>
        <w:t>P</w:t>
      </w:r>
      <w:r w:rsidRPr="00C12E6D">
        <w:rPr>
          <w:b/>
        </w:rPr>
        <w:t>roposal 3: For case #3</w:t>
      </w:r>
      <w:r w:rsidR="007B1B3F" w:rsidRPr="00C12E6D">
        <w:rPr>
          <w:b/>
        </w:rPr>
        <w:t xml:space="preserve"> and #4</w:t>
      </w:r>
      <w:r w:rsidRPr="00C12E6D">
        <w:rPr>
          <w:b/>
        </w:rPr>
        <w:t xml:space="preserve">, </w:t>
      </w:r>
      <w:r w:rsidR="00134A28" w:rsidRPr="00C12E6D">
        <w:rPr>
          <w:b/>
        </w:rPr>
        <w:t>an explicit signaling for DL power control of IAB-DU can be introduced.</w:t>
      </w:r>
    </w:p>
    <w:p w14:paraId="44A8E0DF" w14:textId="4B212EBE" w:rsidR="00024E0C" w:rsidRDefault="00024E0C" w:rsidP="001F6B73">
      <w:pPr>
        <w:spacing w:after="120"/>
      </w:pPr>
    </w:p>
    <w:p w14:paraId="530B0B8F" w14:textId="09248CBD" w:rsidR="002062CF" w:rsidRDefault="00FB6D7F" w:rsidP="002062CF">
      <w:pPr>
        <w:pStyle w:val="maintext"/>
        <w:ind w:firstLine="440"/>
      </w:pPr>
      <w:r>
        <w:t>I</w:t>
      </w:r>
      <w:r w:rsidRPr="00FB6D7F">
        <w:t>n RAN1#10</w:t>
      </w:r>
      <w:r>
        <w:t>4</w:t>
      </w:r>
      <w:r w:rsidRPr="00FB6D7F">
        <w:t>-e meeting,</w:t>
      </w:r>
      <w:r>
        <w:t xml:space="preserve"> it was agreed </w:t>
      </w:r>
      <w:r w:rsidR="00C703F5">
        <w:t xml:space="preserve">RAN1 to study possible specification support for </w:t>
      </w:r>
      <w:r w:rsidR="00C703F5" w:rsidRPr="00C703F5">
        <w:t>DU-to-DU measurement and report</w:t>
      </w:r>
      <w:r w:rsidR="00C703F5">
        <w:t xml:space="preserve">. </w:t>
      </w:r>
      <w:r w:rsidR="00EB06D7">
        <w:fldChar w:fldCharType="begin"/>
      </w:r>
      <w:r w:rsidR="00EB06D7">
        <w:instrText xml:space="preserve"> REF _Ref71560164 \h </w:instrText>
      </w:r>
      <w:r w:rsidR="00EB06D7">
        <w:fldChar w:fldCharType="separate"/>
      </w:r>
      <w:r w:rsidR="00EB06D7">
        <w:t xml:space="preserve">Figure </w:t>
      </w:r>
      <w:r w:rsidR="00EB06D7">
        <w:rPr>
          <w:noProof/>
        </w:rPr>
        <w:t>1</w:t>
      </w:r>
      <w:r w:rsidR="00EB06D7">
        <w:fldChar w:fldCharType="end"/>
      </w:r>
      <w:r w:rsidR="00EB06D7">
        <w:t xml:space="preserve"> </w:t>
      </w:r>
      <w:r w:rsidR="00BA4FDF">
        <w:t xml:space="preserve">shows the categorized options for </w:t>
      </w:r>
      <w:r w:rsidR="00BA4FDF" w:rsidRPr="00BA4FDF">
        <w:t>DU-to-DU measurement and report</w:t>
      </w:r>
      <w:r w:rsidR="00BA4FDF">
        <w:t xml:space="preserve"> in RAN1#104-e meeting. </w:t>
      </w:r>
      <w:r w:rsidR="00FE3917">
        <w:t xml:space="preserve">From DU-to-DU measurement/report perspectives, </w:t>
      </w:r>
      <w:r w:rsidR="00BF756C">
        <w:t>it can be summarized that {option 1.2, option 2.2, or option 1.1/1.2 via Rel-16 RIM} are direct method</w:t>
      </w:r>
      <w:r w:rsidR="00501937">
        <w:t>s</w:t>
      </w:r>
      <w:r w:rsidR="00BF756C">
        <w:t xml:space="preserve"> to measure and/or report DU-to-DU interferences. </w:t>
      </w:r>
      <w:r w:rsidR="00952D0A">
        <w:t>Among these options the motivation to newly adopt option 1.2 or option 2.1 could be verified by assessments on the enhanced (e.g. more dynamic</w:t>
      </w:r>
      <w:r w:rsidR="00C46385">
        <w:t>/flexible</w:t>
      </w:r>
      <w:r w:rsidR="00952D0A">
        <w:t xml:space="preserve">) RIM </w:t>
      </w:r>
      <w:r w:rsidR="003347A7">
        <w:t xml:space="preserve">on top of the Rel-16 RIM supports. </w:t>
      </w:r>
      <w:r w:rsidR="00501937">
        <w:t>On the other hands, {option 1.3, option 2.3, or option 1.1/1.2 via Rel-16 CSI/beam measurement and report} can be considered as in-direct methods to measure and/or report DU-to-DU interferences.</w:t>
      </w:r>
      <w:r w:rsidR="00C46385">
        <w:t xml:space="preserve"> </w:t>
      </w:r>
      <w:r w:rsidR="00A27B3B">
        <w:t xml:space="preserve">For both direct/in-direct scenarios above, we think the baseline should be carefully defined, i.e. the joint operation of Rel-16 RIM and Rel-16 CSI/beam measurement and report should be utilized as the baseline scheme. </w:t>
      </w:r>
    </w:p>
    <w:p w14:paraId="1ED38F76" w14:textId="08DAD392" w:rsidR="002062CF" w:rsidRDefault="002062CF" w:rsidP="001F6B73">
      <w:pPr>
        <w:spacing w:after="120"/>
      </w:pPr>
    </w:p>
    <w:p w14:paraId="4D2A0251" w14:textId="04F3E952" w:rsidR="00C703F5" w:rsidRDefault="00BF756C" w:rsidP="00C703F5">
      <w:pPr>
        <w:keepNext/>
        <w:spacing w:after="120"/>
        <w:jc w:val="center"/>
      </w:pPr>
      <w:r>
        <w:rPr>
          <w:noProof/>
        </w:rPr>
        <w:lastRenderedPageBreak/>
        <w:drawing>
          <wp:inline distT="0" distB="0" distL="0" distR="0" wp14:anchorId="3E0714C2" wp14:editId="7EE8F8FC">
            <wp:extent cx="4086000" cy="20988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6000" cy="2098800"/>
                    </a:xfrm>
                    <a:prstGeom prst="rect">
                      <a:avLst/>
                    </a:prstGeom>
                    <a:noFill/>
                  </pic:spPr>
                </pic:pic>
              </a:graphicData>
            </a:graphic>
          </wp:inline>
        </w:drawing>
      </w:r>
    </w:p>
    <w:p w14:paraId="4DF3476E" w14:textId="5DFD7C5F" w:rsidR="00C703F5" w:rsidRDefault="00C703F5" w:rsidP="00C703F5">
      <w:pPr>
        <w:pStyle w:val="a8"/>
        <w:spacing w:after="120"/>
        <w:jc w:val="center"/>
      </w:pPr>
      <w:bookmarkStart w:id="2" w:name="_Ref71560164"/>
      <w:r>
        <w:t xml:space="preserve">Figure </w:t>
      </w:r>
      <w:r w:rsidR="0022587F">
        <w:fldChar w:fldCharType="begin"/>
      </w:r>
      <w:r w:rsidR="0022587F">
        <w:instrText xml:space="preserve"> SEQ Figure \* ARABIC </w:instrText>
      </w:r>
      <w:r w:rsidR="0022587F">
        <w:fldChar w:fldCharType="separate"/>
      </w:r>
      <w:r w:rsidR="00C27E55">
        <w:rPr>
          <w:noProof/>
        </w:rPr>
        <w:t>1</w:t>
      </w:r>
      <w:r w:rsidR="0022587F">
        <w:rPr>
          <w:noProof/>
        </w:rPr>
        <w:fldChar w:fldCharType="end"/>
      </w:r>
      <w:bookmarkEnd w:id="2"/>
      <w:r>
        <w:t xml:space="preserve">. </w:t>
      </w:r>
      <w:r w:rsidR="004C7022">
        <w:t xml:space="preserve">Listed options for </w:t>
      </w:r>
      <w:r w:rsidR="004C7022" w:rsidRPr="004C7022">
        <w:t>DU-to-DU measurement and report</w:t>
      </w:r>
      <w:r w:rsidR="004C7022">
        <w:t>.</w:t>
      </w:r>
    </w:p>
    <w:p w14:paraId="17AFBC52" w14:textId="0B09CE18" w:rsidR="00C703F5" w:rsidRDefault="00C703F5" w:rsidP="001F6B73">
      <w:pPr>
        <w:spacing w:after="120"/>
      </w:pPr>
    </w:p>
    <w:p w14:paraId="52F5605F" w14:textId="252BC92D" w:rsidR="00A63B9F" w:rsidRPr="00C12E6D" w:rsidRDefault="00A63B9F" w:rsidP="00A63B9F">
      <w:pPr>
        <w:spacing w:after="120"/>
        <w:ind w:left="330" w:hangingChars="150" w:hanging="330"/>
        <w:rPr>
          <w:b/>
        </w:rPr>
      </w:pPr>
      <w:r w:rsidRPr="00C12E6D">
        <w:rPr>
          <w:b/>
        </w:rPr>
        <w:t xml:space="preserve">Proposal </w:t>
      </w:r>
      <w:r>
        <w:rPr>
          <w:b/>
        </w:rPr>
        <w:t>4</w:t>
      </w:r>
      <w:r w:rsidRPr="00C12E6D">
        <w:rPr>
          <w:b/>
        </w:rPr>
        <w:t xml:space="preserve">: </w:t>
      </w:r>
      <w:r>
        <w:rPr>
          <w:b/>
        </w:rPr>
        <w:t>Adopt option 1.1 and 1.2, unless other options can provide non-</w:t>
      </w:r>
      <w:r w:rsidRPr="00A63B9F">
        <w:rPr>
          <w:b/>
        </w:rPr>
        <w:t>negligible</w:t>
      </w:r>
      <w:r>
        <w:rPr>
          <w:b/>
        </w:rPr>
        <w:t xml:space="preserve"> </w:t>
      </w:r>
      <w:r w:rsidR="008E0FBD">
        <w:rPr>
          <w:b/>
        </w:rPr>
        <w:t>performance gain over Rel-16 RIM + Rel-16 CSI/beam measurement and report.</w:t>
      </w:r>
    </w:p>
    <w:p w14:paraId="79E32515" w14:textId="77777777" w:rsidR="00A63B9F" w:rsidRDefault="00A63B9F" w:rsidP="001F6B73">
      <w:pPr>
        <w:spacing w:after="120"/>
      </w:pPr>
    </w:p>
    <w:p w14:paraId="0D00E868" w14:textId="754028A3" w:rsidR="00024E0C" w:rsidRDefault="00024E0C" w:rsidP="00024E0C">
      <w:pPr>
        <w:pStyle w:val="2"/>
        <w:spacing w:after="120"/>
      </w:pPr>
      <w:r>
        <w:rPr>
          <w:rFonts w:hint="eastAsia"/>
        </w:rPr>
        <w:t>D</w:t>
      </w:r>
      <w:r>
        <w:t xml:space="preserve">etails on </w:t>
      </w:r>
      <w:r w:rsidR="00204606">
        <w:t>IAB TX</w:t>
      </w:r>
      <w:r>
        <w:t xml:space="preserve"> power control</w:t>
      </w:r>
    </w:p>
    <w:p w14:paraId="47FB20D2" w14:textId="087B579A" w:rsidR="009A76BB" w:rsidRPr="009A76BB" w:rsidRDefault="00204606" w:rsidP="00204606">
      <w:pPr>
        <w:pStyle w:val="maintext"/>
        <w:ind w:firstLine="440"/>
      </w:pPr>
      <w:r>
        <w:rPr>
          <w:rFonts w:hint="eastAsia"/>
        </w:rPr>
        <w:t>T</w:t>
      </w:r>
      <w:r>
        <w:t xml:space="preserve">he following agreements and FFS points on IAB DL and UL Tx power control had been made </w:t>
      </w:r>
      <w:r>
        <w:fldChar w:fldCharType="begin"/>
      </w:r>
      <w:r>
        <w:instrText xml:space="preserve"> REF _Ref61254254 \r \h </w:instrText>
      </w:r>
      <w:r>
        <w:fldChar w:fldCharType="separate"/>
      </w:r>
      <w:r>
        <w:t>[1]</w:t>
      </w:r>
      <w:r>
        <w:fldChar w:fldCharType="end"/>
      </w:r>
      <w:r w:rsidR="00844A01">
        <w:t xml:space="preserve">, </w:t>
      </w:r>
      <w:r w:rsidR="00844A01">
        <w:fldChar w:fldCharType="begin"/>
      </w:r>
      <w:r w:rsidR="00844A01">
        <w:instrText xml:space="preserve"> REF _Ref71551419 \r \h </w:instrText>
      </w:r>
      <w:r w:rsidR="00844A01">
        <w:fldChar w:fldCharType="separate"/>
      </w:r>
      <w:r w:rsidR="00844A01">
        <w:t>[2]</w:t>
      </w:r>
      <w:r w:rsidR="00844A01">
        <w:fldChar w:fldCharType="end"/>
      </w:r>
      <w:r>
        <w:t>:</w:t>
      </w:r>
    </w:p>
    <w:tbl>
      <w:tblPr>
        <w:tblStyle w:val="a6"/>
        <w:tblW w:w="0" w:type="auto"/>
        <w:tblLook w:val="04A0" w:firstRow="1" w:lastRow="0" w:firstColumn="1" w:lastColumn="0" w:noHBand="0" w:noVBand="1"/>
      </w:tblPr>
      <w:tblGrid>
        <w:gridCol w:w="9736"/>
      </w:tblGrid>
      <w:tr w:rsidR="009A76BB" w:rsidRPr="00A35E1D" w14:paraId="539755AC" w14:textId="77777777" w:rsidTr="009A76BB">
        <w:tc>
          <w:tcPr>
            <w:tcW w:w="9736" w:type="dxa"/>
          </w:tcPr>
          <w:p w14:paraId="7E8E28E5" w14:textId="77777777" w:rsidR="00474D86" w:rsidRPr="00A35E1D" w:rsidRDefault="00474D86" w:rsidP="00474D86">
            <w:pPr>
              <w:widowControl/>
              <w:wordWrap/>
              <w:autoSpaceDE/>
              <w:autoSpaceDN/>
              <w:spacing w:afterLines="0" w:after="0"/>
              <w:jc w:val="left"/>
              <w:rPr>
                <w:rFonts w:ascii="Times" w:eastAsia="Times New Roman" w:hAnsi="Times" w:cs="Times"/>
                <w:sz w:val="20"/>
                <w:szCs w:val="20"/>
                <w:highlight w:val="green"/>
                <w:lang w:eastAsia="en-US"/>
              </w:rPr>
            </w:pPr>
            <w:r w:rsidRPr="00A35E1D">
              <w:rPr>
                <w:rFonts w:ascii="Times" w:eastAsia="Times New Roman" w:hAnsi="Times" w:cs="Times"/>
                <w:sz w:val="20"/>
                <w:szCs w:val="20"/>
                <w:highlight w:val="green"/>
                <w:lang w:eastAsia="en-US"/>
              </w:rPr>
              <w:t>Agreement</w:t>
            </w:r>
          </w:p>
          <w:p w14:paraId="2EC3E037" w14:textId="77777777" w:rsidR="00474D86" w:rsidRPr="00A35E1D" w:rsidRDefault="00474D86" w:rsidP="00474D86">
            <w:pPr>
              <w:widowControl/>
              <w:wordWrap/>
              <w:autoSpaceDE/>
              <w:autoSpaceDN/>
              <w:spacing w:afterLines="0" w:after="0"/>
              <w:jc w:val="left"/>
              <w:rPr>
                <w:rFonts w:ascii="Times" w:eastAsia="Calibri" w:hAnsi="Times" w:cs="Times"/>
                <w:sz w:val="20"/>
                <w:szCs w:val="20"/>
                <w:lang w:eastAsia="en-US"/>
              </w:rPr>
            </w:pPr>
            <w:r w:rsidRPr="00A35E1D">
              <w:rPr>
                <w:rFonts w:ascii="Times" w:eastAsia="Calibri" w:hAnsi="Times" w:cs="Times"/>
                <w:sz w:val="20"/>
                <w:szCs w:val="20"/>
                <w:lang w:eastAsia="en-US"/>
              </w:rPr>
              <w:t>Further study requirement of enhanced DL and UL Tx power control mechanism considering the following: </w:t>
            </w:r>
          </w:p>
          <w:p w14:paraId="2B7D5DBF"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0"/>
                <w:lang w:eastAsia="x-none"/>
              </w:rPr>
            </w:pPr>
            <w:r w:rsidRPr="00A35E1D">
              <w:rPr>
                <w:rFonts w:ascii="Times" w:eastAsia="Calibri" w:hAnsi="Times" w:cs="Times"/>
                <w:bCs/>
                <w:sz w:val="20"/>
                <w:szCs w:val="20"/>
                <w:lang w:eastAsia="x-none"/>
              </w:rPr>
              <w:t>DL/UL power control with assistance information from the child node.</w:t>
            </w:r>
          </w:p>
          <w:p w14:paraId="038231F8"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0"/>
                <w:lang w:eastAsia="x-none"/>
              </w:rPr>
            </w:pPr>
            <w:r w:rsidRPr="00A35E1D">
              <w:rPr>
                <w:rFonts w:ascii="Times" w:eastAsia="Calibri" w:hAnsi="Times" w:cs="Times"/>
                <w:bCs/>
                <w:sz w:val="20"/>
                <w:szCs w:val="20"/>
                <w:lang w:eastAsia="x-none"/>
              </w:rPr>
              <w:t>DL/UL power control with assistance information from the parent node.</w:t>
            </w:r>
          </w:p>
          <w:p w14:paraId="34C3B8CF"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0"/>
                <w:lang w:eastAsia="x-none"/>
              </w:rPr>
            </w:pPr>
            <w:r w:rsidRPr="00A35E1D">
              <w:rPr>
                <w:rFonts w:ascii="Times" w:eastAsia="Calibri" w:hAnsi="Times" w:cs="Times"/>
                <w:bCs/>
                <w:sz w:val="20"/>
                <w:szCs w:val="20"/>
                <w:lang w:eastAsia="x-none"/>
              </w:rPr>
              <w:t>Central (e.g. by CU) power control coordination (e.g. semi-static max DL/UL Tx power limits).</w:t>
            </w:r>
          </w:p>
          <w:p w14:paraId="53959C23"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0"/>
                <w:lang w:eastAsia="x-none"/>
              </w:rPr>
            </w:pPr>
            <w:r w:rsidRPr="00A35E1D">
              <w:rPr>
                <w:rFonts w:ascii="Times" w:eastAsia="Calibri" w:hAnsi="Times" w:cs="Times"/>
                <w:bCs/>
                <w:sz w:val="20"/>
                <w:szCs w:val="20"/>
                <w:lang w:eastAsia="x-none"/>
              </w:rPr>
              <w:t>Coexistence of different power control mechanisms within an IAB node and in the network.</w:t>
            </w:r>
          </w:p>
          <w:p w14:paraId="2D93DABC" w14:textId="77777777" w:rsidR="00474D86" w:rsidRPr="00A35E1D" w:rsidRDefault="00474D86" w:rsidP="00474D86">
            <w:pPr>
              <w:widowControl/>
              <w:wordWrap/>
              <w:autoSpaceDE/>
              <w:autoSpaceDN/>
              <w:spacing w:afterLines="0" w:after="0"/>
              <w:jc w:val="left"/>
              <w:rPr>
                <w:rFonts w:ascii="Times" w:eastAsia="Calibri" w:hAnsi="Times" w:cs="Times"/>
                <w:sz w:val="20"/>
                <w:szCs w:val="20"/>
                <w:lang w:eastAsia="en-US"/>
              </w:rPr>
            </w:pPr>
            <w:r w:rsidRPr="00A35E1D">
              <w:rPr>
                <w:rFonts w:ascii="Times" w:eastAsia="Calibri" w:hAnsi="Times" w:cs="Times"/>
                <w:sz w:val="20"/>
                <w:szCs w:val="20"/>
                <w:lang w:eastAsia="en-US"/>
              </w:rPr>
              <w:t>Note. Any power control mechanism should consider the following aspects:</w:t>
            </w:r>
          </w:p>
          <w:p w14:paraId="1C3B26FB"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0"/>
                <w:lang w:eastAsia="x-none"/>
              </w:rPr>
            </w:pPr>
            <w:r w:rsidRPr="00A35E1D">
              <w:rPr>
                <w:rFonts w:ascii="Times" w:eastAsia="Calibri" w:hAnsi="Times" w:cs="Times"/>
                <w:bCs/>
                <w:sz w:val="20"/>
                <w:szCs w:val="20"/>
                <w:lang w:eastAsia="x-none"/>
              </w:rPr>
              <w:t>Existing base station design principles (e.g. power control and dynamic range capability, etc.) related to transmission power.</w:t>
            </w:r>
          </w:p>
          <w:p w14:paraId="24532601" w14:textId="77777777" w:rsidR="00474D86" w:rsidRPr="00A35E1D" w:rsidRDefault="00474D86" w:rsidP="00474D86">
            <w:pPr>
              <w:widowControl/>
              <w:numPr>
                <w:ilvl w:val="0"/>
                <w:numId w:val="10"/>
              </w:numPr>
              <w:wordWrap/>
              <w:autoSpaceDE/>
              <w:autoSpaceDN/>
              <w:spacing w:afterLines="0" w:after="0"/>
              <w:contextualSpacing/>
              <w:jc w:val="left"/>
              <w:textAlignment w:val="baseline"/>
              <w:rPr>
                <w:rFonts w:ascii="Times" w:eastAsia="Calibri" w:hAnsi="Times" w:cs="Times"/>
                <w:bCs/>
                <w:sz w:val="20"/>
                <w:szCs w:val="20"/>
                <w:lang w:eastAsia="x-none"/>
              </w:rPr>
            </w:pPr>
            <w:r w:rsidRPr="00A35E1D">
              <w:rPr>
                <w:rFonts w:ascii="Times" w:eastAsia="Calibri" w:hAnsi="Times" w:cs="Times"/>
                <w:bCs/>
                <w:sz w:val="20"/>
                <w:szCs w:val="20"/>
                <w:lang w:eastAsia="x-none"/>
              </w:rPr>
              <w:t>Network constraints in regard to transmitted reference signals with constant power.</w:t>
            </w:r>
          </w:p>
          <w:p w14:paraId="160D6B03" w14:textId="77777777" w:rsidR="00474D86" w:rsidRPr="00A35E1D" w:rsidRDefault="00474D86" w:rsidP="00280D47">
            <w:pPr>
              <w:spacing w:after="120"/>
              <w:rPr>
                <w:rFonts w:ascii="Times" w:eastAsia="SimSun" w:hAnsi="Times" w:cs="Times"/>
                <w:sz w:val="20"/>
                <w:szCs w:val="20"/>
              </w:rPr>
            </w:pPr>
          </w:p>
          <w:p w14:paraId="1BCF027F" w14:textId="77777777" w:rsidR="00A16090" w:rsidRPr="00A35E1D" w:rsidRDefault="00A16090" w:rsidP="00A16090">
            <w:pPr>
              <w:widowControl/>
              <w:wordWrap/>
              <w:autoSpaceDE/>
              <w:autoSpaceDN/>
              <w:spacing w:afterLines="0" w:after="0"/>
              <w:jc w:val="left"/>
              <w:rPr>
                <w:rFonts w:ascii="Times" w:eastAsia="바탕" w:hAnsi="Times" w:cs="Times"/>
                <w:sz w:val="20"/>
                <w:szCs w:val="20"/>
              </w:rPr>
            </w:pPr>
            <w:r w:rsidRPr="00A35E1D">
              <w:rPr>
                <w:rFonts w:ascii="Times" w:eastAsia="바탕" w:hAnsi="Times" w:cs="Times"/>
                <w:b/>
                <w:bCs/>
                <w:sz w:val="20"/>
                <w:szCs w:val="20"/>
                <w:highlight w:val="green"/>
                <w:lang w:val="en-GB" w:eastAsia="x-none"/>
              </w:rPr>
              <w:t>Agreement</w:t>
            </w:r>
          </w:p>
          <w:p w14:paraId="6F9F82A6" w14:textId="77777777" w:rsidR="00A16090" w:rsidRPr="00A35E1D" w:rsidRDefault="00A16090" w:rsidP="00A16090">
            <w:pPr>
              <w:widowControl/>
              <w:wordWrap/>
              <w:autoSpaceDE/>
              <w:autoSpaceDN/>
              <w:spacing w:afterLines="0" w:after="0"/>
              <w:jc w:val="left"/>
              <w:rPr>
                <w:rFonts w:ascii="Times" w:eastAsia="Calibri" w:hAnsi="Times" w:cs="Times"/>
                <w:sz w:val="20"/>
                <w:szCs w:val="20"/>
                <w:lang w:val="en-GB" w:eastAsia="en-US"/>
              </w:rPr>
            </w:pPr>
            <w:r w:rsidRPr="00A35E1D">
              <w:rPr>
                <w:rFonts w:ascii="Times" w:eastAsia="Calibri" w:hAnsi="Times" w:cs="Times"/>
                <w:sz w:val="20"/>
                <w:szCs w:val="20"/>
                <w:lang w:val="en-GB" w:eastAsia="en-US"/>
              </w:rPr>
              <w:t>RAN1 to further study whether the legacy UL power control mechanism (including PHR) is suffic</w:t>
            </w:r>
            <w:bookmarkStart w:id="3" w:name="_GoBack"/>
            <w:bookmarkEnd w:id="3"/>
            <w:r w:rsidRPr="00A35E1D">
              <w:rPr>
                <w:rFonts w:ascii="Times" w:eastAsia="Calibri" w:hAnsi="Times" w:cs="Times"/>
                <w:sz w:val="20"/>
                <w:szCs w:val="20"/>
                <w:lang w:val="en-GB" w:eastAsia="en-US"/>
              </w:rPr>
              <w:t>ient for an IAB-node operating in an enhanced multiplexing mode.</w:t>
            </w:r>
          </w:p>
          <w:p w14:paraId="55640334" w14:textId="77777777" w:rsidR="00A16090" w:rsidRPr="00A35E1D" w:rsidRDefault="00A16090" w:rsidP="00A16090">
            <w:pPr>
              <w:widowControl/>
              <w:numPr>
                <w:ilvl w:val="0"/>
                <w:numId w:val="13"/>
              </w:numPr>
              <w:wordWrap/>
              <w:autoSpaceDE/>
              <w:autoSpaceDN/>
              <w:spacing w:afterLines="0" w:after="0"/>
              <w:contextualSpacing/>
              <w:jc w:val="left"/>
              <w:textAlignment w:val="baseline"/>
              <w:rPr>
                <w:rFonts w:ascii="Times" w:eastAsia="MS PGothic" w:hAnsi="Times" w:cs="Times"/>
                <w:sz w:val="20"/>
                <w:szCs w:val="20"/>
                <w:lang w:val="en-GB" w:eastAsia="ja-JP"/>
              </w:rPr>
            </w:pPr>
            <w:r w:rsidRPr="00A35E1D">
              <w:rPr>
                <w:rFonts w:ascii="Times" w:eastAsia="Calibri" w:hAnsi="Times" w:cs="Times"/>
                <w:sz w:val="20"/>
                <w:szCs w:val="20"/>
                <w:lang w:val="en-GB" w:eastAsia="x-none"/>
              </w:rPr>
              <w:t>FFS: if not (i.e., the legacy mechanism is not sufficient), support an IAB-node indicating information to assist with its UL power control.</w:t>
            </w:r>
          </w:p>
          <w:p w14:paraId="78DBC71E" w14:textId="77777777" w:rsidR="00A16090" w:rsidRPr="00A35E1D" w:rsidRDefault="00A16090" w:rsidP="00A16090">
            <w:pPr>
              <w:widowControl/>
              <w:wordWrap/>
              <w:autoSpaceDE/>
              <w:autoSpaceDN/>
              <w:spacing w:afterLines="0" w:after="0"/>
              <w:jc w:val="left"/>
              <w:rPr>
                <w:rFonts w:ascii="Times" w:eastAsia="바탕" w:hAnsi="Times" w:cs="Times"/>
                <w:sz w:val="20"/>
                <w:szCs w:val="20"/>
                <w:lang w:val="en-GB" w:eastAsia="x-none"/>
              </w:rPr>
            </w:pPr>
          </w:p>
          <w:p w14:paraId="2272B2F3" w14:textId="77777777" w:rsidR="00A16090" w:rsidRPr="00A35E1D" w:rsidRDefault="00A16090" w:rsidP="00A16090">
            <w:pPr>
              <w:widowControl/>
              <w:wordWrap/>
              <w:autoSpaceDE/>
              <w:autoSpaceDN/>
              <w:spacing w:afterLines="0" w:after="0"/>
              <w:jc w:val="left"/>
              <w:rPr>
                <w:rFonts w:ascii="Times" w:eastAsia="바탕" w:hAnsi="Times" w:cs="Times"/>
                <w:sz w:val="20"/>
                <w:szCs w:val="20"/>
              </w:rPr>
            </w:pPr>
            <w:r w:rsidRPr="00A35E1D">
              <w:rPr>
                <w:rFonts w:ascii="Times" w:eastAsia="바탕" w:hAnsi="Times" w:cs="Times"/>
                <w:b/>
                <w:bCs/>
                <w:sz w:val="20"/>
                <w:szCs w:val="20"/>
                <w:highlight w:val="green"/>
                <w:lang w:val="en-GB" w:eastAsia="x-none"/>
              </w:rPr>
              <w:t>Agreement</w:t>
            </w:r>
          </w:p>
          <w:p w14:paraId="2547E13B" w14:textId="77777777" w:rsidR="00A16090" w:rsidRPr="00A35E1D" w:rsidRDefault="00A16090" w:rsidP="00A16090">
            <w:pPr>
              <w:widowControl/>
              <w:wordWrap/>
              <w:autoSpaceDE/>
              <w:autoSpaceDN/>
              <w:spacing w:afterLines="0" w:after="0"/>
              <w:jc w:val="left"/>
              <w:rPr>
                <w:rFonts w:ascii="Times" w:eastAsia="Calibri" w:hAnsi="Times" w:cs="Times"/>
                <w:sz w:val="20"/>
                <w:szCs w:val="20"/>
                <w:lang w:val="en-GB" w:eastAsia="en-US"/>
              </w:rPr>
            </w:pPr>
            <w:r w:rsidRPr="00A35E1D">
              <w:rPr>
                <w:rFonts w:ascii="Times" w:eastAsia="Calibri" w:hAnsi="Times" w:cs="Times"/>
                <w:sz w:val="20"/>
                <w:szCs w:val="20"/>
                <w:lang w:val="en-GB" w:eastAsia="en-US"/>
              </w:rPr>
              <w:t xml:space="preserve">Support an IAB-node indicating information to assist with the DL power control of its parent-node towards the IAB-node without mandating an expected </w:t>
            </w:r>
            <w:proofErr w:type="spellStart"/>
            <w:r w:rsidRPr="00A35E1D">
              <w:rPr>
                <w:rFonts w:ascii="Times" w:eastAsia="Calibri" w:hAnsi="Times" w:cs="Times"/>
                <w:sz w:val="20"/>
                <w:szCs w:val="20"/>
                <w:lang w:val="en-GB" w:eastAsia="en-US"/>
              </w:rPr>
              <w:t>behavior</w:t>
            </w:r>
            <w:proofErr w:type="spellEnd"/>
            <w:r w:rsidRPr="00A35E1D">
              <w:rPr>
                <w:rFonts w:ascii="Times" w:eastAsia="Calibri" w:hAnsi="Times" w:cs="Times"/>
                <w:sz w:val="20"/>
                <w:szCs w:val="20"/>
                <w:lang w:val="en-GB" w:eastAsia="en-US"/>
              </w:rPr>
              <w:t xml:space="preserve"> at the parent node.</w:t>
            </w:r>
          </w:p>
          <w:p w14:paraId="51985CD0" w14:textId="77777777" w:rsidR="00A16090" w:rsidRPr="00A35E1D" w:rsidRDefault="00A16090" w:rsidP="00A16090">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A35E1D">
              <w:rPr>
                <w:rFonts w:ascii="Times" w:eastAsia="Calibri" w:hAnsi="Times" w:cs="Times"/>
                <w:sz w:val="20"/>
                <w:szCs w:val="20"/>
                <w:lang w:val="en-GB" w:eastAsia="x-none"/>
              </w:rPr>
              <w:t>Note: At least the assistance information is for supporting the simultaneous operation within the IAB-node to avoid power imbalance</w:t>
            </w:r>
          </w:p>
          <w:p w14:paraId="5D2D833C" w14:textId="77777777" w:rsidR="00A16090" w:rsidRPr="00A35E1D" w:rsidRDefault="00A16090" w:rsidP="00A16090">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A35E1D">
              <w:rPr>
                <w:rFonts w:ascii="Times" w:eastAsia="Calibri" w:hAnsi="Times" w:cs="Times"/>
                <w:sz w:val="20"/>
                <w:szCs w:val="20"/>
                <w:lang w:val="en-GB" w:eastAsia="x-none"/>
              </w:rPr>
              <w:t>FFS: type of assistance information (e.g., desired received power, power adjustment, preferred CSI-RS resource)</w:t>
            </w:r>
          </w:p>
          <w:p w14:paraId="36106F50" w14:textId="77777777" w:rsidR="00A16090" w:rsidRPr="00A35E1D" w:rsidRDefault="00A16090" w:rsidP="00A16090">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A35E1D">
              <w:rPr>
                <w:rFonts w:ascii="Times" w:eastAsia="Calibri" w:hAnsi="Times" w:cs="Times"/>
                <w:sz w:val="20"/>
                <w:szCs w:val="20"/>
                <w:lang w:val="en-GB" w:eastAsia="x-none"/>
              </w:rPr>
              <w:t>FFS: whether this information is provided to the parent-node, the CU, or both.</w:t>
            </w:r>
          </w:p>
          <w:p w14:paraId="2F8B13B9" w14:textId="77777777" w:rsidR="00A16090" w:rsidRPr="00A35E1D" w:rsidRDefault="00A16090" w:rsidP="00A16090">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A35E1D">
              <w:rPr>
                <w:rFonts w:ascii="Times" w:eastAsia="Calibri" w:hAnsi="Times" w:cs="Times"/>
                <w:sz w:val="20"/>
                <w:szCs w:val="20"/>
                <w:lang w:val="en-GB" w:eastAsia="x-none"/>
              </w:rPr>
              <w:t>FFS: applicability of the assistance information (e.g. relation to beams or multiplexing modes)</w:t>
            </w:r>
          </w:p>
          <w:p w14:paraId="05807AE0" w14:textId="77777777" w:rsidR="00A16090" w:rsidRPr="00A35E1D" w:rsidRDefault="00A16090" w:rsidP="00A16090">
            <w:pPr>
              <w:widowControl/>
              <w:numPr>
                <w:ilvl w:val="0"/>
                <w:numId w:val="13"/>
              </w:numPr>
              <w:wordWrap/>
              <w:autoSpaceDE/>
              <w:autoSpaceDN/>
              <w:spacing w:afterLines="0" w:after="0"/>
              <w:contextualSpacing/>
              <w:jc w:val="left"/>
              <w:textAlignment w:val="baseline"/>
              <w:rPr>
                <w:rFonts w:ascii="Times" w:eastAsia="Calibri" w:hAnsi="Times" w:cs="Times"/>
                <w:sz w:val="20"/>
                <w:szCs w:val="20"/>
                <w:lang w:val="en-GB" w:eastAsia="x-none"/>
              </w:rPr>
            </w:pPr>
            <w:r w:rsidRPr="00A35E1D">
              <w:rPr>
                <w:rFonts w:ascii="Times" w:eastAsia="Calibri" w:hAnsi="Times" w:cs="Times"/>
                <w:sz w:val="20"/>
                <w:szCs w:val="20"/>
                <w:lang w:val="en-GB" w:eastAsia="x-none"/>
              </w:rPr>
              <w:t>FFS: the channel carrying this assistance information</w:t>
            </w:r>
          </w:p>
          <w:p w14:paraId="20A0CAF8" w14:textId="13CC0CA2" w:rsidR="00A16090" w:rsidRPr="00A35E1D" w:rsidRDefault="00A16090" w:rsidP="00280D47">
            <w:pPr>
              <w:spacing w:after="120"/>
              <w:rPr>
                <w:rFonts w:ascii="Times" w:hAnsi="Times" w:cs="Times"/>
                <w:sz w:val="20"/>
                <w:szCs w:val="20"/>
                <w:lang w:val="en-GB" w:eastAsia="ko-KR"/>
              </w:rPr>
            </w:pPr>
          </w:p>
        </w:tc>
      </w:tr>
    </w:tbl>
    <w:p w14:paraId="1971F7B3" w14:textId="073BCB3D" w:rsidR="005F2EBC" w:rsidRDefault="005F2EBC" w:rsidP="00EA2EFD">
      <w:pPr>
        <w:pStyle w:val="maintext"/>
        <w:ind w:firstLineChars="0" w:firstLine="0"/>
        <w:rPr>
          <w:rFonts w:eastAsiaTheme="minorEastAsia"/>
        </w:rPr>
      </w:pPr>
    </w:p>
    <w:p w14:paraId="1BF08C99" w14:textId="54F8D4A9" w:rsidR="00EA2EFD" w:rsidRPr="007450FD" w:rsidRDefault="0064451A" w:rsidP="007450FD">
      <w:pPr>
        <w:pStyle w:val="maintext"/>
        <w:ind w:firstLineChars="0" w:firstLine="0"/>
        <w:rPr>
          <w:rFonts w:eastAsiaTheme="minorEastAsia"/>
          <w:b/>
          <w:u w:val="single"/>
        </w:rPr>
      </w:pPr>
      <w:r w:rsidRPr="007450FD">
        <w:rPr>
          <w:rFonts w:eastAsiaTheme="minorEastAsia"/>
          <w:b/>
          <w:u w:val="single"/>
        </w:rPr>
        <w:t>DL power ratio parameters</w:t>
      </w:r>
    </w:p>
    <w:p w14:paraId="45D02ECC" w14:textId="77777777" w:rsidR="00D95C1D" w:rsidRDefault="00EB47E9" w:rsidP="00741C33">
      <w:pPr>
        <w:pStyle w:val="maintext"/>
        <w:ind w:firstLine="440"/>
        <w:rPr>
          <w:rFonts w:eastAsiaTheme="minorEastAsia"/>
        </w:rPr>
      </w:pPr>
      <w:r>
        <w:rPr>
          <w:rFonts w:eastAsiaTheme="minorEastAsia" w:hint="eastAsia"/>
        </w:rPr>
        <w:lastRenderedPageBreak/>
        <w:t>F</w:t>
      </w:r>
      <w:r>
        <w:rPr>
          <w:rFonts w:eastAsiaTheme="minorEastAsia"/>
        </w:rPr>
        <w:t xml:space="preserve">rom Rel-16 specification perspective, </w:t>
      </w:r>
      <w:r w:rsidR="00A94976">
        <w:rPr>
          <w:rFonts w:eastAsiaTheme="minorEastAsia"/>
        </w:rPr>
        <w:t xml:space="preserve">a UE can be configured with </w:t>
      </w:r>
      <w:r w:rsidR="001C3485">
        <w:rPr>
          <w:rFonts w:eastAsiaTheme="minorEastAsia"/>
        </w:rPr>
        <w:t>a set of parameters on power ratio of DL channels/signals, such as Pc (</w:t>
      </w:r>
      <w:r w:rsidR="001C3485" w:rsidRPr="001C3485">
        <w:rPr>
          <w:rFonts w:eastAsiaTheme="minorEastAsia"/>
        </w:rPr>
        <w:t>the assumed ratio of PDSCH EPRE to NZP CSI-RS EPRE when UE derives CSI feedback</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proofErr w:type="spellEnd"/>
      <w:r w:rsidR="001C3485">
        <w:rPr>
          <w:rFonts w:eastAsiaTheme="minorEastAsia"/>
        </w:rPr>
        <w:t xml:space="preserve">), </w:t>
      </w:r>
      <w:proofErr w:type="spellStart"/>
      <w:proofErr w:type="gramStart"/>
      <w:r w:rsidR="001C3485">
        <w:rPr>
          <w:rFonts w:eastAsiaTheme="minorEastAsia"/>
        </w:rPr>
        <w:t>Pc,SS</w:t>
      </w:r>
      <w:proofErr w:type="spellEnd"/>
      <w:proofErr w:type="gramEnd"/>
      <w:r w:rsidR="001C3485">
        <w:rPr>
          <w:rFonts w:eastAsiaTheme="minorEastAsia"/>
        </w:rPr>
        <w:t xml:space="preserve"> (</w:t>
      </w:r>
      <w:r w:rsidR="001C3485" w:rsidRPr="001C3485">
        <w:rPr>
          <w:rFonts w:eastAsiaTheme="minorEastAsia"/>
        </w:rPr>
        <w:t>the assumed ratio of NZP CSI-RS EPRE to SS/PBCH block EPRE</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r w:rsidR="001C3485">
        <w:rPr>
          <w:rFonts w:eastAsiaTheme="minorEastAsia"/>
          <w:i/>
        </w:rPr>
        <w:t>SS</w:t>
      </w:r>
      <w:proofErr w:type="spellEnd"/>
      <w:r w:rsidR="001C3485">
        <w:rPr>
          <w:rFonts w:eastAsiaTheme="minorEastAsia"/>
        </w:rPr>
        <w:t xml:space="preserve">), or </w:t>
      </w:r>
      <w:proofErr w:type="spellStart"/>
      <w:r w:rsidR="001C3485">
        <w:rPr>
          <w:rFonts w:eastAsiaTheme="minorEastAsia"/>
        </w:rPr>
        <w:t>Pc,PDCCH</w:t>
      </w:r>
      <w:proofErr w:type="spellEnd"/>
      <w:r w:rsidR="001C3485">
        <w:rPr>
          <w:rFonts w:eastAsiaTheme="minorEastAsia"/>
        </w:rPr>
        <w:t xml:space="preserve"> (</w:t>
      </w:r>
      <w:r w:rsidR="001C3485" w:rsidRPr="001C3485">
        <w:rPr>
          <w:rFonts w:eastAsiaTheme="minorEastAsia"/>
        </w:rPr>
        <w:t>the assumed ratio of NZP CSI-RS EPRE to PDCCH EPRE</w:t>
      </w:r>
      <w:r w:rsidR="001C3485">
        <w:rPr>
          <w:rFonts w:eastAsiaTheme="minorEastAsia"/>
        </w:rPr>
        <w:t>,</w:t>
      </w:r>
      <w:r w:rsidR="001C3485" w:rsidRPr="001C3485">
        <w:rPr>
          <w:rFonts w:eastAsiaTheme="minorEastAsia"/>
        </w:rPr>
        <w:t xml:space="preserve"> </w:t>
      </w:r>
      <w:r w:rsidR="001C3485">
        <w:rPr>
          <w:rFonts w:eastAsiaTheme="minorEastAsia"/>
        </w:rPr>
        <w:t xml:space="preserve">defined as 0 dB). </w:t>
      </w:r>
      <w:r w:rsidR="00AE6BFD">
        <w:rPr>
          <w:rFonts w:eastAsiaTheme="minorEastAsia"/>
        </w:rPr>
        <w:t xml:space="preserve">Although these parameters do not represent the actual transmission power of </w:t>
      </w:r>
      <w:proofErr w:type="spellStart"/>
      <w:r w:rsidR="00AE6BFD">
        <w:rPr>
          <w:rFonts w:eastAsiaTheme="minorEastAsia"/>
        </w:rPr>
        <w:t>gNB</w:t>
      </w:r>
      <w:proofErr w:type="spellEnd"/>
      <w:r w:rsidR="00AE6BFD">
        <w:rPr>
          <w:rFonts w:eastAsiaTheme="minorEastAsia"/>
        </w:rPr>
        <w:t xml:space="preserve"> (i.e., </w:t>
      </w:r>
      <w:proofErr w:type="spellStart"/>
      <w:r w:rsidR="00AE6BFD">
        <w:rPr>
          <w:rFonts w:eastAsiaTheme="minorEastAsia"/>
        </w:rPr>
        <w:t>gNB</w:t>
      </w:r>
      <w:proofErr w:type="spellEnd"/>
      <w:r w:rsidR="00AE6BFD">
        <w:rPr>
          <w:rFonts w:eastAsiaTheme="minorEastAsia"/>
        </w:rPr>
        <w:t xml:space="preserve"> still has </w:t>
      </w:r>
      <w:r w:rsidR="004D2F40">
        <w:rPr>
          <w:rFonts w:eastAsiaTheme="minorEastAsia"/>
        </w:rPr>
        <w:t>its flexibility on the actual transmission power for different channels/signals, since those parameters are provided just as the UE assumptions</w:t>
      </w:r>
      <w:r w:rsidR="00AE6BFD">
        <w:rPr>
          <w:rFonts w:eastAsiaTheme="minorEastAsia"/>
        </w:rPr>
        <w:t>)</w:t>
      </w:r>
      <w:r w:rsidR="004D2F40">
        <w:rPr>
          <w:rFonts w:eastAsiaTheme="minorEastAsia"/>
        </w:rPr>
        <w:t xml:space="preserve">, </w:t>
      </w:r>
      <w:r w:rsidR="00997698">
        <w:rPr>
          <w:rFonts w:eastAsiaTheme="minorEastAsia"/>
        </w:rPr>
        <w:t xml:space="preserve">it is also true that on top of the configured SSB transmission power by </w:t>
      </w:r>
      <w:r w:rsidR="00EF5CD5" w:rsidRPr="00EF5CD5">
        <w:rPr>
          <w:rFonts w:eastAsiaTheme="minorEastAsia"/>
          <w:i/>
        </w:rPr>
        <w:t>ss-PBCH-</w:t>
      </w:r>
      <w:proofErr w:type="spellStart"/>
      <w:r w:rsidR="00EF5CD5" w:rsidRPr="00EF5CD5">
        <w:rPr>
          <w:rFonts w:eastAsiaTheme="minorEastAsia"/>
          <w:i/>
        </w:rPr>
        <w:t>BlockPower</w:t>
      </w:r>
      <w:proofErr w:type="spellEnd"/>
      <w:r w:rsidR="00997698">
        <w:rPr>
          <w:rFonts w:eastAsiaTheme="minorEastAsia"/>
        </w:rPr>
        <w:t xml:space="preserve"> UE will have a prior information on the power ratio</w:t>
      </w:r>
      <w:r w:rsidR="00EF5CD5">
        <w:rPr>
          <w:rFonts w:eastAsiaTheme="minorEastAsia"/>
        </w:rPr>
        <w:t xml:space="preserve"> across different DL channels/signals.</w:t>
      </w:r>
    </w:p>
    <w:p w14:paraId="34C74F91" w14:textId="525D9161" w:rsidR="009A76BB" w:rsidRDefault="003F2232" w:rsidP="00741C33">
      <w:pPr>
        <w:pStyle w:val="maintext"/>
        <w:ind w:firstLine="440"/>
        <w:rPr>
          <w:rFonts w:eastAsiaTheme="minorEastAsia"/>
        </w:rPr>
      </w:pPr>
      <w:r>
        <w:rPr>
          <w:rFonts w:eastAsiaTheme="minorEastAsia"/>
        </w:rPr>
        <w:fldChar w:fldCharType="begin"/>
      </w:r>
      <w:r>
        <w:rPr>
          <w:rFonts w:eastAsiaTheme="minorEastAsia"/>
        </w:rPr>
        <w:instrText xml:space="preserve"> REF _Ref61282553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shows an example of such assumptions on DL power ratio according to the corresponding signalling. </w:t>
      </w:r>
      <w:r w:rsidR="005B2CCC">
        <w:rPr>
          <w:rFonts w:eastAsiaTheme="minorEastAsia"/>
        </w:rPr>
        <w:t xml:space="preserve">Since the relationships in </w:t>
      </w:r>
      <w:r w:rsidR="005B2CCC">
        <w:rPr>
          <w:rFonts w:eastAsiaTheme="minorEastAsia"/>
        </w:rPr>
        <w:fldChar w:fldCharType="begin"/>
      </w:r>
      <w:r w:rsidR="005B2CCC">
        <w:rPr>
          <w:rFonts w:eastAsiaTheme="minorEastAsia"/>
        </w:rPr>
        <w:instrText xml:space="preserve"> REF _Ref61282553 \h </w:instrText>
      </w:r>
      <w:r w:rsidR="005B2CCC">
        <w:rPr>
          <w:rFonts w:eastAsiaTheme="minorEastAsia"/>
        </w:rPr>
      </w:r>
      <w:r w:rsidR="005B2CCC">
        <w:rPr>
          <w:rFonts w:eastAsiaTheme="minorEastAsia"/>
        </w:rPr>
        <w:fldChar w:fldCharType="separate"/>
      </w:r>
      <w:r w:rsidR="005B2CCC">
        <w:t xml:space="preserve">Figure </w:t>
      </w:r>
      <w:r w:rsidR="005B2CCC">
        <w:rPr>
          <w:noProof/>
        </w:rPr>
        <w:t>1</w:t>
      </w:r>
      <w:r w:rsidR="005B2CCC">
        <w:rPr>
          <w:rFonts w:eastAsiaTheme="minorEastAsia"/>
        </w:rPr>
        <w:fldChar w:fldCharType="end"/>
      </w:r>
      <w:r w:rsidR="005B2CCC">
        <w:rPr>
          <w:rFonts w:eastAsiaTheme="minorEastAsia"/>
        </w:rPr>
        <w:t xml:space="preserve"> are semi-statically configured, when the transmission power of one of DL channels/signals including SSB, PDCCH, CSI-RS or PDSCH, </w:t>
      </w:r>
      <w:r w:rsidR="002E6AC0">
        <w:rPr>
          <w:rFonts w:eastAsiaTheme="minorEastAsia"/>
        </w:rPr>
        <w:t xml:space="preserve">the UE (or IAB-MT) may be able to assume that the transmission powers of all the other DL channels/signals associated with the adjusted one are automatically changed as well. </w:t>
      </w:r>
      <w:r w:rsidR="00D51185">
        <w:rPr>
          <w:rFonts w:eastAsiaTheme="minorEastAsia"/>
        </w:rPr>
        <w:t xml:space="preserve">Since such automatic associations are related with a bunch of UE/MT procedures including CSI feedback, </w:t>
      </w:r>
      <w:r w:rsidR="00E51A6F">
        <w:rPr>
          <w:rFonts w:eastAsiaTheme="minorEastAsia"/>
        </w:rPr>
        <w:t xml:space="preserve">beam management, etc., it should be clearly clarified which type of options will be applied for IAB DL power control. </w:t>
      </w:r>
      <w:r w:rsidR="00F07664">
        <w:rPr>
          <w:rFonts w:eastAsiaTheme="minorEastAsia"/>
        </w:rPr>
        <w:t>From our perspective, per DL channel/signal DL power control through an additional set of power ratio parameters</w:t>
      </w:r>
      <w:r w:rsidR="005E71D8">
        <w:rPr>
          <w:rFonts w:eastAsiaTheme="minorEastAsia"/>
        </w:rPr>
        <w:t xml:space="preserve"> that covers time duration for simultaneous operation</w:t>
      </w:r>
      <w:r w:rsidR="00F07664">
        <w:rPr>
          <w:rFonts w:eastAsiaTheme="minorEastAsia"/>
        </w:rPr>
        <w:t xml:space="preserve"> is preferred</w:t>
      </w:r>
      <w:r w:rsidR="00D90121">
        <w:rPr>
          <w:rFonts w:eastAsiaTheme="minorEastAsia"/>
        </w:rPr>
        <w:t xml:space="preserve"> (e.g. by introducing </w:t>
      </w:r>
      <w:proofErr w:type="spellStart"/>
      <w:r w:rsidR="00D90121">
        <w:rPr>
          <w:rFonts w:eastAsiaTheme="minorEastAsia"/>
        </w:rPr>
        <w:t>Pc_delta</w:t>
      </w:r>
      <w:proofErr w:type="spellEnd"/>
      <w:r w:rsidR="00D90121">
        <w:rPr>
          <w:rFonts w:eastAsiaTheme="minorEastAsia"/>
        </w:rPr>
        <w:t xml:space="preserve"> and </w:t>
      </w:r>
      <w:proofErr w:type="spellStart"/>
      <w:proofErr w:type="gramStart"/>
      <w:r w:rsidR="00D90121">
        <w:rPr>
          <w:rFonts w:eastAsiaTheme="minorEastAsia"/>
        </w:rPr>
        <w:t>Pc</w:t>
      </w:r>
      <w:r w:rsidR="007450FD">
        <w:rPr>
          <w:rFonts w:eastAsiaTheme="minorEastAsia"/>
        </w:rPr>
        <w:t>,</w:t>
      </w:r>
      <w:r w:rsidR="00D90121">
        <w:rPr>
          <w:rFonts w:eastAsiaTheme="minorEastAsia"/>
        </w:rPr>
        <w:t>SS</w:t>
      </w:r>
      <w:proofErr w:type="gramEnd"/>
      <w:r w:rsidR="00D90121">
        <w:rPr>
          <w:rFonts w:eastAsiaTheme="minorEastAsia"/>
        </w:rPr>
        <w:t>_delta</w:t>
      </w:r>
      <w:proofErr w:type="spellEnd"/>
      <w:r w:rsidR="00D90121">
        <w:rPr>
          <w:rFonts w:eastAsiaTheme="minorEastAsia"/>
        </w:rPr>
        <w:t>, etc.)</w:t>
      </w:r>
      <w:r w:rsidR="00F07664">
        <w:rPr>
          <w:rFonts w:eastAsiaTheme="minorEastAsia"/>
        </w:rPr>
        <w:t xml:space="preserve">. </w:t>
      </w:r>
      <w:r w:rsidR="008455B0">
        <w:rPr>
          <w:rFonts w:eastAsiaTheme="minorEastAsia"/>
        </w:rPr>
        <w:t xml:space="preserve">Consequently, </w:t>
      </w:r>
      <w:r w:rsidR="00D549B7">
        <w:rPr>
          <w:rFonts w:eastAsiaTheme="minorEastAsia"/>
        </w:rPr>
        <w:t xml:space="preserve">IAB network can choose either to </w:t>
      </w:r>
      <w:r w:rsidR="00A70E69">
        <w:rPr>
          <w:rFonts w:eastAsiaTheme="minorEastAsia"/>
        </w:rPr>
        <w:t>maintain the coverage of cell-specific channels/signals or to adjust transmission power of whole DL channels/signals for interference reduction.</w:t>
      </w:r>
      <w:r w:rsidR="00E86D72">
        <w:rPr>
          <w:rFonts w:eastAsiaTheme="minorEastAsia"/>
        </w:rPr>
        <w:t xml:space="preserve"> </w:t>
      </w:r>
      <w:r w:rsidR="00E21682">
        <w:rPr>
          <w:rFonts w:eastAsiaTheme="minorEastAsia"/>
        </w:rPr>
        <w:t>Since large specification impacts from RAN1 to RAN4 can be induced by introducing configurable</w:t>
      </w:r>
      <w:r w:rsidR="003B491C">
        <w:rPr>
          <w:rFonts w:eastAsiaTheme="minorEastAsia"/>
        </w:rPr>
        <w:t xml:space="preserve"> </w:t>
      </w:r>
      <w:proofErr w:type="spellStart"/>
      <w:proofErr w:type="gramStart"/>
      <w:r w:rsidR="003B491C">
        <w:rPr>
          <w:rFonts w:eastAsiaTheme="minorEastAsia"/>
        </w:rPr>
        <w:t>Pc,PDCCH</w:t>
      </w:r>
      <w:proofErr w:type="spellEnd"/>
      <w:proofErr w:type="gramEnd"/>
      <w:r w:rsidR="003B491C">
        <w:rPr>
          <w:rFonts w:eastAsiaTheme="minorEastAsia"/>
        </w:rPr>
        <w:t xml:space="preserve">, more study on performance gain and specification impacts is required </w:t>
      </w:r>
      <w:r w:rsidR="00E21682">
        <w:rPr>
          <w:rFonts w:eastAsiaTheme="minorEastAsia"/>
        </w:rPr>
        <w:t xml:space="preserve">in case of </w:t>
      </w:r>
      <w:proofErr w:type="spellStart"/>
      <w:r w:rsidR="00E21682">
        <w:rPr>
          <w:rFonts w:eastAsiaTheme="minorEastAsia"/>
        </w:rPr>
        <w:t>Pc,PDCCH</w:t>
      </w:r>
      <w:proofErr w:type="spellEnd"/>
      <w:r w:rsidR="00E21682">
        <w:rPr>
          <w:rFonts w:eastAsiaTheme="minorEastAsia"/>
        </w:rPr>
        <w:t>.</w:t>
      </w:r>
    </w:p>
    <w:p w14:paraId="238F3E37" w14:textId="77777777" w:rsidR="001A61AC" w:rsidRDefault="001A61AC" w:rsidP="00741C33">
      <w:pPr>
        <w:pStyle w:val="maintext"/>
        <w:ind w:firstLine="440"/>
        <w:rPr>
          <w:rFonts w:eastAsiaTheme="minorEastAsia"/>
        </w:rPr>
      </w:pPr>
    </w:p>
    <w:p w14:paraId="11A21157" w14:textId="77777777" w:rsidR="00FA3042" w:rsidRDefault="00FA3042" w:rsidP="00FA3042">
      <w:pPr>
        <w:pStyle w:val="maintext"/>
        <w:keepNext/>
        <w:ind w:firstLine="440"/>
        <w:jc w:val="center"/>
      </w:pPr>
      <w:r>
        <w:rPr>
          <w:rFonts w:eastAsiaTheme="minorEastAsia"/>
          <w:noProof/>
        </w:rPr>
        <w:drawing>
          <wp:inline distT="0" distB="0" distL="0" distR="0" wp14:anchorId="576CE3CB" wp14:editId="77736973">
            <wp:extent cx="3798000" cy="3038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8000" cy="3038400"/>
                    </a:xfrm>
                    <a:prstGeom prst="rect">
                      <a:avLst/>
                    </a:prstGeom>
                    <a:noFill/>
                  </pic:spPr>
                </pic:pic>
              </a:graphicData>
            </a:graphic>
          </wp:inline>
        </w:drawing>
      </w:r>
    </w:p>
    <w:p w14:paraId="70E0E31E" w14:textId="35376419" w:rsidR="00FA3042" w:rsidRDefault="00FA3042" w:rsidP="00FA3042">
      <w:pPr>
        <w:pStyle w:val="a8"/>
        <w:spacing w:after="120"/>
        <w:jc w:val="center"/>
      </w:pPr>
      <w:bookmarkStart w:id="4" w:name="_Ref61282553"/>
      <w:r>
        <w:t xml:space="preserve">Figure </w:t>
      </w:r>
      <w:fldSimple w:instr=" SEQ Figure \* ARABIC ">
        <w:r w:rsidR="00C27E55">
          <w:rPr>
            <w:noProof/>
          </w:rPr>
          <w:t>2</w:t>
        </w:r>
      </w:fldSimple>
      <w:bookmarkEnd w:id="4"/>
      <w:r>
        <w:t>. An example of DL power ratio signaling across DL signals/channels</w:t>
      </w:r>
    </w:p>
    <w:p w14:paraId="5C32BBCF" w14:textId="215BE33F" w:rsidR="009A76BB" w:rsidRDefault="009A76BB" w:rsidP="00741C33">
      <w:pPr>
        <w:pStyle w:val="maintext"/>
        <w:ind w:firstLine="440"/>
      </w:pPr>
    </w:p>
    <w:p w14:paraId="5D29A2B4" w14:textId="77B48DEC" w:rsidR="009A76BB" w:rsidRPr="00E21682" w:rsidRDefault="00350CC5" w:rsidP="00E21682">
      <w:pPr>
        <w:spacing w:after="120"/>
        <w:ind w:left="330" w:hangingChars="150" w:hanging="330"/>
        <w:rPr>
          <w:b/>
        </w:rPr>
      </w:pPr>
      <w:r w:rsidRPr="00E21682">
        <w:rPr>
          <w:rFonts w:hint="eastAsia"/>
          <w:b/>
        </w:rPr>
        <w:t>P</w:t>
      </w:r>
      <w:r w:rsidRPr="00E21682">
        <w:rPr>
          <w:b/>
        </w:rPr>
        <w:t xml:space="preserve">roposal </w:t>
      </w:r>
      <w:r w:rsidR="008E0FBD">
        <w:rPr>
          <w:b/>
        </w:rPr>
        <w:t>5</w:t>
      </w:r>
      <w:r w:rsidR="005273AC" w:rsidRPr="00E21682">
        <w:rPr>
          <w:b/>
        </w:rPr>
        <w:t xml:space="preserve">: Support </w:t>
      </w:r>
      <w:r w:rsidR="004D395B" w:rsidRPr="00E21682">
        <w:rPr>
          <w:b/>
        </w:rPr>
        <w:t xml:space="preserve">additional </w:t>
      </w:r>
      <w:r w:rsidR="005273AC" w:rsidRPr="00E21682">
        <w:rPr>
          <w:b/>
        </w:rPr>
        <w:t xml:space="preserve">power </w:t>
      </w:r>
      <w:r w:rsidR="004D395B" w:rsidRPr="00E21682">
        <w:rPr>
          <w:b/>
        </w:rPr>
        <w:t>ratio</w:t>
      </w:r>
      <w:r w:rsidR="005273AC" w:rsidRPr="00E21682">
        <w:rPr>
          <w:b/>
        </w:rPr>
        <w:t xml:space="preserve"> parameters</w:t>
      </w:r>
      <w:r w:rsidR="00FE1A0F" w:rsidRPr="00E21682">
        <w:rPr>
          <w:b/>
        </w:rPr>
        <w:t xml:space="preserve"> per DL signal/channel</w:t>
      </w:r>
      <w:r w:rsidR="005273AC" w:rsidRPr="00E21682">
        <w:rPr>
          <w:b/>
        </w:rPr>
        <w:t xml:space="preserve"> for simultaneous operations</w:t>
      </w:r>
      <w:r w:rsidR="00FE1A0F" w:rsidRPr="00E21682">
        <w:rPr>
          <w:b/>
        </w:rPr>
        <w:t>.</w:t>
      </w:r>
    </w:p>
    <w:p w14:paraId="475008AA" w14:textId="3DC228E5" w:rsidR="00741C33" w:rsidRPr="00E21682" w:rsidRDefault="00741C33" w:rsidP="00741C33">
      <w:pPr>
        <w:pStyle w:val="a7"/>
        <w:numPr>
          <w:ilvl w:val="0"/>
          <w:numId w:val="11"/>
        </w:numPr>
        <w:spacing w:after="120"/>
        <w:ind w:leftChars="0"/>
        <w:rPr>
          <w:b/>
        </w:rPr>
      </w:pPr>
      <w:r w:rsidRPr="00E21682">
        <w:rPr>
          <w:rFonts w:hint="eastAsia"/>
          <w:b/>
        </w:rPr>
        <w:lastRenderedPageBreak/>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sidR="007450FD">
        <w:rPr>
          <w:b/>
        </w:rPr>
        <w:t>,</w:t>
      </w:r>
      <w:r w:rsidRPr="00E21682">
        <w:rPr>
          <w:b/>
        </w:rPr>
        <w:t>SS</w:t>
      </w:r>
      <w:proofErr w:type="gramEnd"/>
      <w:r w:rsidRPr="00E21682">
        <w:rPr>
          <w:b/>
        </w:rPr>
        <w:t>_delta</w:t>
      </w:r>
      <w:proofErr w:type="spellEnd"/>
      <w:r w:rsidRPr="00E21682">
        <w:rPr>
          <w:b/>
        </w:rPr>
        <w:t>, at least.</w:t>
      </w:r>
    </w:p>
    <w:p w14:paraId="1ACC1BC1" w14:textId="5C6D58BD" w:rsidR="00741C33" w:rsidRPr="00E21682" w:rsidRDefault="00741C33" w:rsidP="00741C33">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sidR="007450FD">
        <w:rPr>
          <w:b/>
        </w:rPr>
        <w:t>,</w:t>
      </w:r>
      <w:r w:rsidRPr="00E21682">
        <w:rPr>
          <w:b/>
        </w:rPr>
        <w:t>PDCCH</w:t>
      </w:r>
      <w:proofErr w:type="spellEnd"/>
      <w:proofErr w:type="gramEnd"/>
    </w:p>
    <w:p w14:paraId="26C7DD82" w14:textId="32F81A3E" w:rsidR="00754DE2" w:rsidRDefault="00754DE2" w:rsidP="002D4B81">
      <w:pPr>
        <w:pStyle w:val="maintext"/>
        <w:ind w:firstLine="440"/>
        <w:rPr>
          <w:rFonts w:eastAsiaTheme="minorEastAsia"/>
        </w:rPr>
      </w:pPr>
    </w:p>
    <w:p w14:paraId="7313910A" w14:textId="277CE5A7" w:rsidR="0056327D" w:rsidRDefault="00C27E55" w:rsidP="002D4B81">
      <w:pPr>
        <w:pStyle w:val="maintext"/>
        <w:ind w:firstLine="440"/>
        <w:rPr>
          <w:rFonts w:eastAsiaTheme="minorEastAsia"/>
        </w:rPr>
      </w:pPr>
      <w:r>
        <w:rPr>
          <w:rFonts w:eastAsiaTheme="minorEastAsia"/>
        </w:rPr>
        <w:fldChar w:fldCharType="begin"/>
      </w:r>
      <w:r>
        <w:rPr>
          <w:rFonts w:eastAsiaTheme="minorEastAsia"/>
        </w:rPr>
        <w:instrText xml:space="preserve"> REF _Ref71562471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 xml:space="preserve"> represents the relationship between “DL power control assist information (as agreed in RAN1#104-e)” and “the enhanced DL power control signalling (as elaborated above)”. </w:t>
      </w:r>
      <w:r w:rsidR="00387667">
        <w:rPr>
          <w:rFonts w:eastAsiaTheme="minorEastAsia"/>
        </w:rPr>
        <w:t xml:space="preserve">As shown by </w:t>
      </w:r>
      <w:r w:rsidR="00387667">
        <w:rPr>
          <w:rFonts w:eastAsiaTheme="minorEastAsia"/>
        </w:rPr>
        <w:fldChar w:fldCharType="begin"/>
      </w:r>
      <w:r w:rsidR="00387667">
        <w:rPr>
          <w:rFonts w:eastAsiaTheme="minorEastAsia"/>
        </w:rPr>
        <w:instrText xml:space="preserve"> REF _Ref71562471 \h </w:instrText>
      </w:r>
      <w:r w:rsidR="00387667">
        <w:rPr>
          <w:rFonts w:eastAsiaTheme="minorEastAsia"/>
        </w:rPr>
      </w:r>
      <w:r w:rsidR="00387667">
        <w:rPr>
          <w:rFonts w:eastAsiaTheme="minorEastAsia"/>
        </w:rPr>
        <w:fldChar w:fldCharType="separate"/>
      </w:r>
      <w:r w:rsidR="00387667">
        <w:t xml:space="preserve">Figure </w:t>
      </w:r>
      <w:r w:rsidR="00387667">
        <w:rPr>
          <w:noProof/>
        </w:rPr>
        <w:t>3</w:t>
      </w:r>
      <w:r w:rsidR="00387667">
        <w:rPr>
          <w:rFonts w:eastAsiaTheme="minorEastAsia"/>
        </w:rPr>
        <w:fldChar w:fldCharType="end"/>
      </w:r>
      <w:r w:rsidR="00387667">
        <w:rPr>
          <w:rFonts w:eastAsiaTheme="minorEastAsia"/>
        </w:rPr>
        <w:t xml:space="preserve">, a parent node may help the IAB node to perform simultaneous operation by reducing its downlink transmission power according to the assist information from the IAB node. However, taking the coverage into account, the parent node may not want to decrease the downlink transmission power </w:t>
      </w:r>
      <w:r w:rsidR="00EC2C80">
        <w:rPr>
          <w:rFonts w:eastAsiaTheme="minorEastAsia"/>
        </w:rPr>
        <w:t xml:space="preserve">through all the transmission duration. In this case, the additional power ratio parameters as proposed above </w:t>
      </w:r>
      <w:r w:rsidR="00D30C97">
        <w:rPr>
          <w:rFonts w:eastAsiaTheme="minorEastAsia"/>
        </w:rPr>
        <w:t xml:space="preserve">can </w:t>
      </w:r>
      <w:r w:rsidR="00EC2C80">
        <w:rPr>
          <w:rFonts w:eastAsiaTheme="minorEastAsia"/>
        </w:rPr>
        <w:t xml:space="preserve">enable the selective </w:t>
      </w:r>
      <w:r w:rsidR="00D30C97">
        <w:rPr>
          <w:rFonts w:eastAsiaTheme="minorEastAsia"/>
        </w:rPr>
        <w:t>downlink power adjustment and therefore provide better trade-off between simultaneous operation performance and coverage.</w:t>
      </w:r>
    </w:p>
    <w:p w14:paraId="1113E6BC" w14:textId="7118D3BA" w:rsidR="0056327D" w:rsidRDefault="0056327D" w:rsidP="002D4B81">
      <w:pPr>
        <w:pStyle w:val="maintext"/>
        <w:ind w:firstLine="440"/>
        <w:rPr>
          <w:rFonts w:eastAsiaTheme="minorEastAsia"/>
        </w:rPr>
      </w:pPr>
    </w:p>
    <w:p w14:paraId="2591CC50" w14:textId="77777777" w:rsidR="00C27E55" w:rsidRDefault="00C27E55" w:rsidP="00C27E55">
      <w:pPr>
        <w:pStyle w:val="maintext"/>
        <w:keepNext/>
        <w:ind w:firstLineChars="90" w:firstLine="198"/>
        <w:jc w:val="center"/>
      </w:pPr>
      <w:r>
        <w:rPr>
          <w:rFonts w:eastAsiaTheme="minorEastAsia"/>
          <w:noProof/>
        </w:rPr>
        <w:drawing>
          <wp:inline distT="0" distB="0" distL="0" distR="0" wp14:anchorId="58E94F45" wp14:editId="67331FF8">
            <wp:extent cx="6318000" cy="3106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8000" cy="3106800"/>
                    </a:xfrm>
                    <a:prstGeom prst="rect">
                      <a:avLst/>
                    </a:prstGeom>
                    <a:noFill/>
                  </pic:spPr>
                </pic:pic>
              </a:graphicData>
            </a:graphic>
          </wp:inline>
        </w:drawing>
      </w:r>
    </w:p>
    <w:p w14:paraId="607F8366" w14:textId="2318C392" w:rsidR="0056327D" w:rsidRDefault="00C27E55" w:rsidP="00C27E55">
      <w:pPr>
        <w:pStyle w:val="a8"/>
        <w:spacing w:after="120"/>
        <w:jc w:val="center"/>
      </w:pPr>
      <w:bookmarkStart w:id="5" w:name="_Ref71562471"/>
      <w:r>
        <w:t xml:space="preserve">Figure </w:t>
      </w:r>
      <w:r w:rsidR="0022587F">
        <w:fldChar w:fldCharType="begin"/>
      </w:r>
      <w:r w:rsidR="0022587F">
        <w:instrText xml:space="preserve"> SEQ Figure \* ARABIC </w:instrText>
      </w:r>
      <w:r w:rsidR="0022587F">
        <w:fldChar w:fldCharType="separate"/>
      </w:r>
      <w:r>
        <w:rPr>
          <w:noProof/>
        </w:rPr>
        <w:t>3</w:t>
      </w:r>
      <w:r w:rsidR="0022587F">
        <w:rPr>
          <w:noProof/>
        </w:rPr>
        <w:fldChar w:fldCharType="end"/>
      </w:r>
      <w:bookmarkEnd w:id="5"/>
      <w:r>
        <w:t>. Relationship between the DL PC assist information and the enhanced DL PC signaling.</w:t>
      </w:r>
    </w:p>
    <w:p w14:paraId="3E9C2A51" w14:textId="77777777" w:rsidR="0056327D" w:rsidRDefault="0056327D" w:rsidP="002D4B81">
      <w:pPr>
        <w:pStyle w:val="maintext"/>
        <w:ind w:firstLine="440"/>
        <w:rPr>
          <w:rFonts w:eastAsiaTheme="minorEastAsia"/>
        </w:rPr>
      </w:pPr>
    </w:p>
    <w:p w14:paraId="682890FC" w14:textId="77777777" w:rsidR="00754DE2" w:rsidRDefault="00754DE2" w:rsidP="007450FD">
      <w:pPr>
        <w:pStyle w:val="maintext"/>
        <w:ind w:firstLineChars="0" w:firstLine="0"/>
        <w:rPr>
          <w:rFonts w:eastAsiaTheme="minorEastAsia"/>
        </w:rPr>
      </w:pPr>
      <w:r w:rsidRPr="00AD7D33">
        <w:rPr>
          <w:rFonts w:hint="eastAsia"/>
          <w:b/>
          <w:u w:val="single"/>
        </w:rPr>
        <w:t>P</w:t>
      </w:r>
      <w:r w:rsidRPr="00AD7D33">
        <w:rPr>
          <w:b/>
          <w:u w:val="single"/>
        </w:rPr>
        <w:t>ower splitting for the MT-Tx/DU-Tx case</w:t>
      </w:r>
      <w:r w:rsidRPr="00CD2DF9">
        <w:rPr>
          <w:rFonts w:eastAsiaTheme="minorEastAsia"/>
        </w:rPr>
        <w:t xml:space="preserve"> </w:t>
      </w:r>
    </w:p>
    <w:p w14:paraId="39D2BEB4" w14:textId="3D76167D" w:rsidR="00017334" w:rsidRPr="007450FD" w:rsidRDefault="00CD2DF9" w:rsidP="007450FD">
      <w:pPr>
        <w:pStyle w:val="maintext"/>
        <w:ind w:firstLine="440"/>
      </w:pPr>
      <w:r w:rsidRPr="007450FD">
        <w:rPr>
          <w:rFonts w:eastAsiaTheme="minorEastAsia"/>
        </w:rPr>
        <w:t xml:space="preserve">If the MT and DU have separate RF paths, the MT and DU </w:t>
      </w:r>
      <w:r w:rsidR="00872D42">
        <w:rPr>
          <w:rFonts w:eastAsiaTheme="minorEastAsia"/>
        </w:rPr>
        <w:t xml:space="preserve">will </w:t>
      </w:r>
      <w:r w:rsidRPr="007450FD">
        <w:rPr>
          <w:rFonts w:eastAsiaTheme="minorEastAsia"/>
        </w:rPr>
        <w:t>have their own transmit power constraints. However, if the MT and DU have a common RF path, there will be a transmit power constraint on the sum of the two transmit powers due to, for example, the maximum RF transmit power and EIRP. In this situation, a method of power splitting is required so as to determine</w:t>
      </w:r>
      <w:r w:rsidR="00441C2C">
        <w:rPr>
          <w:rFonts w:eastAsiaTheme="minorEastAsia"/>
        </w:rPr>
        <w:t xml:space="preserve"> the</w:t>
      </w:r>
      <w:r w:rsidRPr="007450FD">
        <w:rPr>
          <w:rFonts w:eastAsiaTheme="minorEastAsia"/>
        </w:rPr>
        <w:t xml:space="preserve"> appropriate transmit powers of the MT and DU while not exceeding the transmit power constraint at the IAB node.</w:t>
      </w:r>
    </w:p>
    <w:p w14:paraId="7DB6DD5C" w14:textId="1138F459" w:rsidR="00363A05" w:rsidRDefault="00024F23" w:rsidP="002D4B81">
      <w:pPr>
        <w:pStyle w:val="maintext"/>
        <w:ind w:firstLine="440"/>
        <w:rPr>
          <w:rFonts w:eastAsiaTheme="minorEastAsia"/>
        </w:rPr>
      </w:pPr>
      <w:r w:rsidRPr="007450FD">
        <w:rPr>
          <w:rFonts w:eastAsiaTheme="minorEastAsia"/>
        </w:rPr>
        <w:t xml:space="preserve">Regarding the power splitting between the </w:t>
      </w:r>
      <w:r w:rsidR="0077261B">
        <w:rPr>
          <w:rFonts w:eastAsiaTheme="minorEastAsia"/>
        </w:rPr>
        <w:t>MT</w:t>
      </w:r>
      <w:r w:rsidR="002D5FC5">
        <w:rPr>
          <w:rFonts w:eastAsiaTheme="minorEastAsia"/>
        </w:rPr>
        <w:t>-</w:t>
      </w:r>
      <w:r w:rsidRPr="007450FD">
        <w:rPr>
          <w:rFonts w:eastAsiaTheme="minorEastAsia"/>
        </w:rPr>
        <w:t xml:space="preserve">Tx (i.e., </w:t>
      </w:r>
      <w:r w:rsidR="0077261B">
        <w:rPr>
          <w:rFonts w:eastAsiaTheme="minorEastAsia"/>
        </w:rPr>
        <w:t>up</w:t>
      </w:r>
      <w:r w:rsidRPr="007450FD">
        <w:rPr>
          <w:rFonts w:eastAsiaTheme="minorEastAsia"/>
        </w:rPr>
        <w:t xml:space="preserve">link) and </w:t>
      </w:r>
      <w:r w:rsidR="0077261B">
        <w:rPr>
          <w:rFonts w:eastAsiaTheme="minorEastAsia"/>
        </w:rPr>
        <w:t>DU</w:t>
      </w:r>
      <w:r w:rsidR="002D5FC5">
        <w:rPr>
          <w:rFonts w:eastAsiaTheme="minorEastAsia"/>
        </w:rPr>
        <w:t>-</w:t>
      </w:r>
      <w:r w:rsidRPr="007450FD">
        <w:rPr>
          <w:rFonts w:eastAsiaTheme="minorEastAsia"/>
        </w:rPr>
        <w:t xml:space="preserve">Tx (i.e., </w:t>
      </w:r>
      <w:r w:rsidR="0077261B">
        <w:rPr>
          <w:rFonts w:eastAsiaTheme="minorEastAsia"/>
        </w:rPr>
        <w:t>down</w:t>
      </w:r>
      <w:r w:rsidRPr="007450FD">
        <w:rPr>
          <w:rFonts w:eastAsiaTheme="minorEastAsia"/>
        </w:rPr>
        <w:t>link),</w:t>
      </w:r>
      <w:r w:rsidR="006D3477" w:rsidRPr="007450FD">
        <w:rPr>
          <w:rFonts w:eastAsiaTheme="minorEastAsia"/>
        </w:rPr>
        <w:t xml:space="preserve"> a specific power splitting rule needs to be studied, considering several aspects such as </w:t>
      </w:r>
      <w:r w:rsidR="00FF740B">
        <w:rPr>
          <w:rFonts w:eastAsiaTheme="minorEastAsia"/>
        </w:rPr>
        <w:t xml:space="preserve">the transmission priority between the </w:t>
      </w:r>
      <w:r w:rsidR="0077261B">
        <w:rPr>
          <w:rFonts w:eastAsiaTheme="minorEastAsia"/>
        </w:rPr>
        <w:t>MT</w:t>
      </w:r>
      <w:r w:rsidR="002D5FC5">
        <w:rPr>
          <w:rFonts w:eastAsiaTheme="minorEastAsia"/>
        </w:rPr>
        <w:t xml:space="preserve">-Tx and </w:t>
      </w:r>
      <w:r w:rsidR="0077261B">
        <w:rPr>
          <w:rFonts w:eastAsiaTheme="minorEastAsia"/>
        </w:rPr>
        <w:t>DU</w:t>
      </w:r>
      <w:r w:rsidR="002D5FC5">
        <w:rPr>
          <w:rFonts w:eastAsiaTheme="minorEastAsia"/>
        </w:rPr>
        <w:t xml:space="preserve">-Tx. For example, the backhaul link to IAB-donor (transmitted by </w:t>
      </w:r>
      <w:r w:rsidR="0077261B">
        <w:rPr>
          <w:rFonts w:eastAsiaTheme="minorEastAsia"/>
        </w:rPr>
        <w:t>MT</w:t>
      </w:r>
      <w:r w:rsidR="002D5FC5">
        <w:rPr>
          <w:rFonts w:eastAsiaTheme="minorEastAsia"/>
        </w:rPr>
        <w:t xml:space="preserve">-Tx) can have higher priority than an access link to IAB-child (transmitted by </w:t>
      </w:r>
      <w:r w:rsidR="0077261B">
        <w:rPr>
          <w:rFonts w:eastAsiaTheme="minorEastAsia"/>
        </w:rPr>
        <w:t>DU</w:t>
      </w:r>
      <w:r w:rsidR="002D5FC5">
        <w:rPr>
          <w:rFonts w:eastAsiaTheme="minorEastAsia"/>
        </w:rPr>
        <w:t xml:space="preserve">-Tx) since </w:t>
      </w:r>
      <w:r w:rsidR="00C02058">
        <w:rPr>
          <w:rFonts w:eastAsiaTheme="minorEastAsia"/>
        </w:rPr>
        <w:t xml:space="preserve">the backhaul link contains data </w:t>
      </w:r>
      <w:r w:rsidR="006D3A09">
        <w:rPr>
          <w:rFonts w:eastAsiaTheme="minorEastAsia"/>
        </w:rPr>
        <w:t xml:space="preserve">come </w:t>
      </w:r>
      <w:r w:rsidR="00C02058">
        <w:rPr>
          <w:rFonts w:eastAsiaTheme="minorEastAsia"/>
        </w:rPr>
        <w:t>from the access link.</w:t>
      </w:r>
      <w:r w:rsidR="00C31C35">
        <w:rPr>
          <w:rFonts w:eastAsiaTheme="minorEastAsia"/>
        </w:rPr>
        <w:t xml:space="preserve"> If the backhaul link fails, the message delivered by the access link will </w:t>
      </w:r>
      <w:r w:rsidR="00E43947">
        <w:rPr>
          <w:rFonts w:eastAsiaTheme="minorEastAsia"/>
        </w:rPr>
        <w:t xml:space="preserve">be lost </w:t>
      </w:r>
      <w:r w:rsidR="00C31C35">
        <w:rPr>
          <w:rFonts w:eastAsiaTheme="minorEastAsia"/>
        </w:rPr>
        <w:t>as well.</w:t>
      </w:r>
      <w:r w:rsidR="006D3A09">
        <w:rPr>
          <w:rFonts w:eastAsiaTheme="minorEastAsia"/>
        </w:rPr>
        <w:t xml:space="preserve"> </w:t>
      </w:r>
      <w:r w:rsidR="00CD26CE">
        <w:rPr>
          <w:rFonts w:eastAsiaTheme="minorEastAsia"/>
        </w:rPr>
        <w:t xml:space="preserve">Another example to determine the </w:t>
      </w:r>
      <w:r w:rsidR="00241705">
        <w:rPr>
          <w:rFonts w:eastAsiaTheme="minorEastAsia"/>
        </w:rPr>
        <w:t xml:space="preserve">transmission </w:t>
      </w:r>
      <w:r w:rsidR="00CD26CE">
        <w:rPr>
          <w:rFonts w:eastAsiaTheme="minorEastAsia"/>
        </w:rPr>
        <w:t xml:space="preserve">priority is the message type. Certain message types may have higher priority than others, e.g., system information, control information, RRC/MAC message, HARQ </w:t>
      </w:r>
      <w:r w:rsidR="00CD26CE">
        <w:rPr>
          <w:rFonts w:eastAsiaTheme="minorEastAsia"/>
        </w:rPr>
        <w:lastRenderedPageBreak/>
        <w:t xml:space="preserve">ACK/NACK, </w:t>
      </w:r>
      <w:r w:rsidR="00190CF9">
        <w:rPr>
          <w:rFonts w:eastAsiaTheme="minorEastAsia"/>
        </w:rPr>
        <w:t>retransmission, etc.</w:t>
      </w:r>
      <w:r w:rsidR="007F2E41">
        <w:rPr>
          <w:rFonts w:eastAsiaTheme="minorEastAsia"/>
        </w:rPr>
        <w:t xml:space="preserve"> </w:t>
      </w:r>
      <w:r w:rsidR="00732B26">
        <w:rPr>
          <w:rFonts w:eastAsiaTheme="minorEastAsia"/>
        </w:rPr>
        <w:t xml:space="preserve">In case of the IAB node </w:t>
      </w:r>
      <w:r w:rsidR="00365A2E">
        <w:rPr>
          <w:rFonts w:eastAsiaTheme="minorEastAsia"/>
        </w:rPr>
        <w:t>having</w:t>
      </w:r>
      <w:r w:rsidR="00732B26">
        <w:rPr>
          <w:rFonts w:eastAsiaTheme="minorEastAsia"/>
        </w:rPr>
        <w:t xml:space="preserve"> no priority information, assistance information regarding the message priority can be delivered</w:t>
      </w:r>
      <w:r w:rsidR="00860B4E">
        <w:rPr>
          <w:rFonts w:eastAsiaTheme="minorEastAsia"/>
        </w:rPr>
        <w:t xml:space="preserve"> from the</w:t>
      </w:r>
      <w:r w:rsidR="00732B26">
        <w:rPr>
          <w:rFonts w:eastAsiaTheme="minorEastAsia"/>
        </w:rPr>
        <w:t xml:space="preserve"> IAB child or IAB parent</w:t>
      </w:r>
      <w:r w:rsidR="00860B4E">
        <w:rPr>
          <w:rFonts w:eastAsiaTheme="minorEastAsia"/>
        </w:rPr>
        <w:t xml:space="preserve"> node</w:t>
      </w:r>
      <w:r w:rsidR="00732B26">
        <w:rPr>
          <w:rFonts w:eastAsiaTheme="minorEastAsia"/>
        </w:rPr>
        <w:t>.</w:t>
      </w:r>
    </w:p>
    <w:p w14:paraId="6CD45A3A" w14:textId="0440A9F7" w:rsidR="00190CF9" w:rsidRDefault="00190CF9" w:rsidP="002D4B81">
      <w:pPr>
        <w:pStyle w:val="maintext"/>
        <w:ind w:firstLine="440"/>
        <w:rPr>
          <w:rFonts w:eastAsiaTheme="minorEastAsia"/>
        </w:rPr>
      </w:pPr>
      <w:r>
        <w:rPr>
          <w:rFonts w:eastAsiaTheme="minorEastAsia" w:hint="eastAsia"/>
        </w:rPr>
        <w:t>O</w:t>
      </w:r>
      <w:r>
        <w:rPr>
          <w:rFonts w:eastAsiaTheme="minorEastAsia"/>
        </w:rPr>
        <w:t xml:space="preserve">nce the transmission priority between </w:t>
      </w:r>
      <w:r w:rsidR="0077261B">
        <w:rPr>
          <w:rFonts w:eastAsiaTheme="minorEastAsia"/>
        </w:rPr>
        <w:t>MT</w:t>
      </w:r>
      <w:r>
        <w:rPr>
          <w:rFonts w:eastAsiaTheme="minorEastAsia"/>
        </w:rPr>
        <w:t xml:space="preserve">-Tx and </w:t>
      </w:r>
      <w:r w:rsidR="0077261B">
        <w:rPr>
          <w:rFonts w:eastAsiaTheme="minorEastAsia"/>
        </w:rPr>
        <w:t>DU</w:t>
      </w:r>
      <w:r>
        <w:rPr>
          <w:rFonts w:eastAsiaTheme="minorEastAsia"/>
        </w:rPr>
        <w:t xml:space="preserve">-Tx is identified, the IAB node needs to split the total transmit power into </w:t>
      </w:r>
      <w:r w:rsidR="0077261B">
        <w:rPr>
          <w:rFonts w:eastAsiaTheme="minorEastAsia"/>
        </w:rPr>
        <w:t>MT</w:t>
      </w:r>
      <w:r>
        <w:rPr>
          <w:rFonts w:eastAsiaTheme="minorEastAsia"/>
        </w:rPr>
        <w:t xml:space="preserve">-Tx </w:t>
      </w:r>
      <w:r w:rsidR="0077261B">
        <w:rPr>
          <w:rFonts w:eastAsiaTheme="minorEastAsia"/>
        </w:rPr>
        <w:t>power and DU-Tx power.</w:t>
      </w:r>
      <w:r w:rsidR="00241705">
        <w:rPr>
          <w:rFonts w:eastAsiaTheme="minorEastAsia"/>
        </w:rPr>
        <w:t xml:space="preserve"> The amount of transmit power split between MT-Tx and DU-Tx can be determined based on the transmission priority.</w:t>
      </w:r>
    </w:p>
    <w:p w14:paraId="639EA95B" w14:textId="77777777" w:rsidR="00754DE2" w:rsidRPr="008943FB" w:rsidRDefault="00754DE2" w:rsidP="007450FD">
      <w:pPr>
        <w:pStyle w:val="maintext"/>
        <w:ind w:firstLine="440"/>
      </w:pPr>
    </w:p>
    <w:p w14:paraId="1A0740D1" w14:textId="216CF4FA" w:rsidR="00754DE2" w:rsidRPr="00E21682" w:rsidRDefault="00754DE2" w:rsidP="00754DE2">
      <w:pPr>
        <w:spacing w:after="120"/>
        <w:ind w:left="330" w:hangingChars="150" w:hanging="330"/>
        <w:rPr>
          <w:b/>
        </w:rPr>
      </w:pPr>
      <w:bookmarkStart w:id="6" w:name="_Hlk61528310"/>
      <w:r w:rsidRPr="00E21682">
        <w:rPr>
          <w:rFonts w:hint="eastAsia"/>
          <w:b/>
        </w:rPr>
        <w:t>P</w:t>
      </w:r>
      <w:r w:rsidRPr="00E21682">
        <w:rPr>
          <w:b/>
        </w:rPr>
        <w:t xml:space="preserve">roposal </w:t>
      </w:r>
      <w:r w:rsidR="008E0FBD">
        <w:rPr>
          <w:b/>
        </w:rPr>
        <w:t>6</w:t>
      </w:r>
      <w:r w:rsidRPr="00E21682">
        <w:rPr>
          <w:b/>
        </w:rPr>
        <w:t xml:space="preserve">: </w:t>
      </w:r>
      <w:r>
        <w:rPr>
          <w:b/>
        </w:rPr>
        <w:t xml:space="preserve">Discuss </w:t>
      </w:r>
      <w:r w:rsidR="004F4DBC">
        <w:rPr>
          <w:b/>
        </w:rPr>
        <w:t>how to split transmit power</w:t>
      </w:r>
      <w:r w:rsidR="00002590">
        <w:rPr>
          <w:b/>
        </w:rPr>
        <w:t>s</w:t>
      </w:r>
      <w:r w:rsidR="004F4DBC">
        <w:rPr>
          <w:b/>
        </w:rPr>
        <w:t xml:space="preserve"> between MT-Tx and DU-Tx.</w:t>
      </w:r>
    </w:p>
    <w:bookmarkEnd w:id="6"/>
    <w:p w14:paraId="512096F8" w14:textId="6A4C7CD6" w:rsidR="00754DE2" w:rsidRDefault="00754DE2" w:rsidP="00754DE2">
      <w:pPr>
        <w:pStyle w:val="maintext"/>
        <w:ind w:firstLineChars="0" w:firstLine="0"/>
        <w:rPr>
          <w:rFonts w:eastAsiaTheme="minorEastAsia"/>
        </w:rPr>
      </w:pPr>
    </w:p>
    <w:p w14:paraId="135E084B" w14:textId="1970E3F7" w:rsidR="00754DE2" w:rsidRDefault="00754DE2" w:rsidP="00754DE2">
      <w:pPr>
        <w:pStyle w:val="maintext"/>
        <w:ind w:firstLineChars="0" w:firstLine="0"/>
        <w:rPr>
          <w:rFonts w:eastAsiaTheme="minorEastAsia"/>
        </w:rPr>
      </w:pPr>
      <w:r w:rsidRPr="00AD7D33">
        <w:rPr>
          <w:b/>
          <w:u w:val="single"/>
        </w:rPr>
        <w:t>DL power control with assistance information for the MT-Rx/DU-Rx case</w:t>
      </w:r>
    </w:p>
    <w:p w14:paraId="4D2FE83D" w14:textId="22881B38" w:rsidR="002D4B81" w:rsidRPr="007450FD" w:rsidRDefault="002D4B81" w:rsidP="007450FD">
      <w:pPr>
        <w:pStyle w:val="maintext"/>
        <w:ind w:firstLine="440"/>
      </w:pPr>
      <w:r w:rsidRPr="007450FD">
        <w:rPr>
          <w:rFonts w:eastAsiaTheme="minorEastAsia"/>
        </w:rPr>
        <w:t>Simultaneous reception at the MT</w:t>
      </w:r>
      <w:r w:rsidR="0010560B">
        <w:rPr>
          <w:rFonts w:eastAsiaTheme="minorEastAsia"/>
        </w:rPr>
        <w:t>-</w:t>
      </w:r>
      <w:r w:rsidR="004131FC">
        <w:rPr>
          <w:rFonts w:eastAsiaTheme="minorEastAsia"/>
        </w:rPr>
        <w:t>R</w:t>
      </w:r>
      <w:r w:rsidR="0010560B">
        <w:rPr>
          <w:rFonts w:eastAsiaTheme="minorEastAsia"/>
        </w:rPr>
        <w:t>x</w:t>
      </w:r>
      <w:r w:rsidRPr="007450FD">
        <w:rPr>
          <w:rFonts w:eastAsiaTheme="minorEastAsia"/>
        </w:rPr>
        <w:t xml:space="preserve"> and DU</w:t>
      </w:r>
      <w:r w:rsidR="0010560B">
        <w:rPr>
          <w:rFonts w:eastAsiaTheme="minorEastAsia"/>
        </w:rPr>
        <w:t>-</w:t>
      </w:r>
      <w:r w:rsidR="004131FC">
        <w:rPr>
          <w:rFonts w:eastAsiaTheme="minorEastAsia"/>
        </w:rPr>
        <w:t>R</w:t>
      </w:r>
      <w:r w:rsidR="0010560B">
        <w:rPr>
          <w:rFonts w:eastAsiaTheme="minorEastAsia"/>
        </w:rPr>
        <w:t>x</w:t>
      </w:r>
      <w:r w:rsidRPr="007450FD">
        <w:rPr>
          <w:rFonts w:eastAsiaTheme="minorEastAsia"/>
        </w:rPr>
        <w:t xml:space="preserve"> may occur </w:t>
      </w:r>
      <w:r w:rsidR="00CF381E">
        <w:rPr>
          <w:rFonts w:eastAsiaTheme="minorEastAsia"/>
        </w:rPr>
        <w:t xml:space="preserve">a </w:t>
      </w:r>
      <w:r w:rsidRPr="007450FD">
        <w:rPr>
          <w:rFonts w:eastAsiaTheme="minorEastAsia"/>
        </w:rPr>
        <w:t xml:space="preserve">power imbalance problem </w:t>
      </w:r>
      <w:r w:rsidR="00CF381E">
        <w:rPr>
          <w:rFonts w:eastAsiaTheme="minorEastAsia"/>
        </w:rPr>
        <w:t xml:space="preserve">between </w:t>
      </w:r>
      <w:r w:rsidRPr="007450FD">
        <w:rPr>
          <w:rFonts w:eastAsiaTheme="minorEastAsia"/>
        </w:rPr>
        <w:t xml:space="preserve">the received signals </w:t>
      </w:r>
      <w:r w:rsidR="00CF381E">
        <w:rPr>
          <w:rFonts w:eastAsiaTheme="minorEastAsia"/>
        </w:rPr>
        <w:t xml:space="preserve">from </w:t>
      </w:r>
      <w:r w:rsidRPr="007450FD">
        <w:rPr>
          <w:rFonts w:eastAsiaTheme="minorEastAsia"/>
        </w:rPr>
        <w:t xml:space="preserve">the </w:t>
      </w:r>
      <w:r w:rsidR="00C20628">
        <w:rPr>
          <w:rFonts w:eastAsiaTheme="minorEastAsia"/>
        </w:rPr>
        <w:t xml:space="preserve">IAB-parent </w:t>
      </w:r>
      <w:r w:rsidRPr="007450FD">
        <w:rPr>
          <w:rFonts w:eastAsiaTheme="minorEastAsia"/>
        </w:rPr>
        <w:t xml:space="preserve">and </w:t>
      </w:r>
      <w:r w:rsidR="00C20628">
        <w:rPr>
          <w:rFonts w:eastAsiaTheme="minorEastAsia"/>
        </w:rPr>
        <w:t>IAB-child nodes</w:t>
      </w:r>
      <w:r w:rsidRPr="007450FD">
        <w:rPr>
          <w:rFonts w:eastAsiaTheme="minorEastAsia"/>
        </w:rPr>
        <w:t xml:space="preserve">. If one of </w:t>
      </w:r>
      <w:r w:rsidR="00D5296D">
        <w:rPr>
          <w:rFonts w:eastAsiaTheme="minorEastAsia"/>
        </w:rPr>
        <w:t xml:space="preserve">the </w:t>
      </w:r>
      <w:r w:rsidRPr="007450FD">
        <w:rPr>
          <w:rFonts w:eastAsiaTheme="minorEastAsia"/>
        </w:rPr>
        <w:t>two received signal</w:t>
      </w:r>
      <w:r w:rsidR="00D5296D">
        <w:rPr>
          <w:rFonts w:eastAsiaTheme="minorEastAsia"/>
        </w:rPr>
        <w:t>s</w:t>
      </w:r>
      <w:r w:rsidRPr="007450FD">
        <w:rPr>
          <w:rFonts w:eastAsiaTheme="minorEastAsia"/>
        </w:rPr>
        <w:t xml:space="preserve"> has much higher power, it will be </w:t>
      </w:r>
      <w:r w:rsidR="00D5296D">
        <w:rPr>
          <w:rFonts w:eastAsiaTheme="minorEastAsia"/>
        </w:rPr>
        <w:t xml:space="preserve">difficult </w:t>
      </w:r>
      <w:r w:rsidRPr="007450FD">
        <w:rPr>
          <w:rFonts w:eastAsiaTheme="minorEastAsia"/>
        </w:rPr>
        <w:t xml:space="preserve">to properly demodulate and decode the other received signal with much lower power. In this regard, transmit power control schemes are required both at the DU of the parent IAB node and at the MT of the child IAB node. The uplink transmit power control at the MT of the child IAB node can be done similarly to the conventional uplink power control scheme. The downlink </w:t>
      </w:r>
      <w:proofErr w:type="gramStart"/>
      <w:r w:rsidRPr="007450FD">
        <w:rPr>
          <w:rFonts w:eastAsiaTheme="minorEastAsia"/>
        </w:rPr>
        <w:t>transmit</w:t>
      </w:r>
      <w:proofErr w:type="gramEnd"/>
      <w:r w:rsidRPr="007450FD">
        <w:rPr>
          <w:rFonts w:eastAsiaTheme="minorEastAsia"/>
        </w:rPr>
        <w:t xml:space="preserve"> power control at the DU of the parent IAB node can be done by modifying the existing uplink power control mechanism.</w:t>
      </w:r>
    </w:p>
    <w:p w14:paraId="1CC44099" w14:textId="7ED682A9" w:rsidR="0064451A" w:rsidRDefault="002D4B81">
      <w:pPr>
        <w:pStyle w:val="maintext"/>
        <w:ind w:firstLine="440"/>
        <w:rPr>
          <w:rFonts w:eastAsiaTheme="minorEastAsia"/>
        </w:rPr>
      </w:pPr>
      <w:r w:rsidRPr="007450FD">
        <w:rPr>
          <w:rFonts w:eastAsiaTheme="minorEastAsia"/>
        </w:rPr>
        <w:t>Then, the remaining question is how to balance the received powers at the MT</w:t>
      </w:r>
      <w:r w:rsidR="002C60EB">
        <w:rPr>
          <w:rFonts w:eastAsiaTheme="minorEastAsia"/>
        </w:rPr>
        <w:t>-Rx</w:t>
      </w:r>
      <w:r w:rsidRPr="007450FD">
        <w:rPr>
          <w:rFonts w:eastAsiaTheme="minorEastAsia"/>
        </w:rPr>
        <w:t xml:space="preserve"> and DU</w:t>
      </w:r>
      <w:r w:rsidR="002C60EB">
        <w:rPr>
          <w:rFonts w:eastAsiaTheme="minorEastAsia"/>
        </w:rPr>
        <w:t>-Rx</w:t>
      </w:r>
      <w:r w:rsidRPr="007450FD">
        <w:rPr>
          <w:rFonts w:eastAsiaTheme="minorEastAsia"/>
        </w:rPr>
        <w:t xml:space="preserve">, which can be done </w:t>
      </w:r>
      <w:r w:rsidR="002C60EB">
        <w:rPr>
          <w:rFonts w:eastAsiaTheme="minorEastAsia"/>
        </w:rPr>
        <w:t xml:space="preserve">by the </w:t>
      </w:r>
      <w:r w:rsidRPr="007450FD">
        <w:rPr>
          <w:rFonts w:eastAsiaTheme="minorEastAsia"/>
        </w:rPr>
        <w:t>open-loop and/or closed-loop power control. For the open-loop power control, appropriate target received power and reference signal power at the MT and DU at the IAB node can be delivered to the DU of the parent IAB node and the MT of the child IAB node. For the closed-loop power control, TPC command can be used to increase, decrease, or maintain the transmit power level.</w:t>
      </w:r>
    </w:p>
    <w:p w14:paraId="04387F6D" w14:textId="77777777" w:rsidR="00870CB9" w:rsidRDefault="00870CB9" w:rsidP="00870CB9">
      <w:pPr>
        <w:spacing w:after="120"/>
        <w:ind w:left="330" w:hangingChars="150" w:hanging="330"/>
        <w:rPr>
          <w:b/>
        </w:rPr>
      </w:pPr>
    </w:p>
    <w:p w14:paraId="5771D424" w14:textId="2B9B8FFF" w:rsidR="00870CB9" w:rsidRPr="00E21682" w:rsidRDefault="00870CB9" w:rsidP="00870CB9">
      <w:pPr>
        <w:spacing w:after="120"/>
        <w:ind w:left="330" w:hangingChars="150" w:hanging="330"/>
        <w:rPr>
          <w:b/>
        </w:rPr>
      </w:pPr>
      <w:r w:rsidRPr="00E21682">
        <w:rPr>
          <w:rFonts w:hint="eastAsia"/>
          <w:b/>
        </w:rPr>
        <w:t>P</w:t>
      </w:r>
      <w:r w:rsidRPr="00E21682">
        <w:rPr>
          <w:b/>
        </w:rPr>
        <w:t xml:space="preserve">roposal </w:t>
      </w:r>
      <w:r w:rsidR="008E0FBD">
        <w:rPr>
          <w:b/>
        </w:rPr>
        <w:t>7</w:t>
      </w:r>
      <w:r w:rsidRPr="00E21682">
        <w:rPr>
          <w:b/>
        </w:rPr>
        <w:t xml:space="preserve">: </w:t>
      </w:r>
      <w:r>
        <w:rPr>
          <w:b/>
        </w:rPr>
        <w:t>Discuss how to balance received power</w:t>
      </w:r>
      <w:r w:rsidR="00002590">
        <w:rPr>
          <w:b/>
        </w:rPr>
        <w:t>s</w:t>
      </w:r>
      <w:r>
        <w:rPr>
          <w:b/>
        </w:rPr>
        <w:t xml:space="preserve"> between MT-</w:t>
      </w:r>
      <w:r w:rsidR="00002590">
        <w:rPr>
          <w:b/>
        </w:rPr>
        <w:t>R</w:t>
      </w:r>
      <w:r>
        <w:rPr>
          <w:b/>
        </w:rPr>
        <w:t>x and DU-</w:t>
      </w:r>
      <w:r w:rsidR="00002590">
        <w:rPr>
          <w:b/>
        </w:rPr>
        <w:t>R</w:t>
      </w:r>
      <w:r>
        <w:rPr>
          <w:b/>
        </w:rPr>
        <w:t>x.</w:t>
      </w:r>
    </w:p>
    <w:p w14:paraId="46A64F04" w14:textId="77777777" w:rsidR="002D4B81" w:rsidRPr="007F3CF2" w:rsidRDefault="002D4B81" w:rsidP="002D4B81">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70DD3F5D" w14:textId="055415AB" w:rsidR="00B90473" w:rsidRDefault="001A668D" w:rsidP="001A668D">
      <w:pPr>
        <w:pStyle w:val="maintext"/>
        <w:ind w:firstLine="440"/>
      </w:pPr>
      <w:r>
        <w:rPr>
          <w:rFonts w:hint="eastAsia"/>
        </w:rPr>
        <w:t>I</w:t>
      </w:r>
      <w:r>
        <w:t xml:space="preserve">n this contribution, ETRI’s views on </w:t>
      </w:r>
      <w:r w:rsidR="00C72617">
        <w:t>simultaneous operations for IAB</w:t>
      </w:r>
      <w:r>
        <w:t xml:space="preserve"> were shown and the following observations and proposals were made:</w:t>
      </w:r>
    </w:p>
    <w:p w14:paraId="0A76819F" w14:textId="77777777" w:rsidR="00C12E6D" w:rsidRPr="00C12E6D" w:rsidRDefault="00C12E6D" w:rsidP="00C12E6D">
      <w:pPr>
        <w:spacing w:after="120"/>
        <w:rPr>
          <w:b/>
        </w:rPr>
      </w:pPr>
      <w:r w:rsidRPr="00C12E6D">
        <w:rPr>
          <w:rFonts w:hint="eastAsia"/>
          <w:b/>
        </w:rPr>
        <w:t>O</w:t>
      </w:r>
      <w:r w:rsidRPr="00C12E6D">
        <w:rPr>
          <w:b/>
        </w:rPr>
        <w:t>bservation 1: The following cases can be clarified for ease of IAB interference management discussions.</w:t>
      </w:r>
    </w:p>
    <w:p w14:paraId="7F575B64"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#1: IAB-node (MT) transmission in UL access slots</w:t>
      </w:r>
    </w:p>
    <w:p w14:paraId="555A1917"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#2: IAB-node (MT) transmission in DL access slots</w:t>
      </w:r>
    </w:p>
    <w:p w14:paraId="7C817AAB" w14:textId="77777777" w:rsidR="00C12E6D" w:rsidRPr="00C12E6D" w:rsidRDefault="00C12E6D" w:rsidP="00C12E6D">
      <w:pPr>
        <w:pStyle w:val="a7"/>
        <w:numPr>
          <w:ilvl w:val="1"/>
          <w:numId w:val="12"/>
        </w:numPr>
        <w:spacing w:after="120"/>
        <w:ind w:leftChars="0"/>
        <w:rPr>
          <w:b/>
        </w:rPr>
      </w:pPr>
      <w:r w:rsidRPr="00C12E6D">
        <w:rPr>
          <w:rFonts w:hint="eastAsia"/>
          <w:b/>
        </w:rPr>
        <w:t>C</w:t>
      </w:r>
      <w:r w:rsidRPr="00C12E6D">
        <w:rPr>
          <w:b/>
        </w:rPr>
        <w:t>ase #2-1: At a given time instance (OFDM symbol(s)), MT is configured/indicated as “U” but UE is configured/indicated as “D”</w:t>
      </w:r>
    </w:p>
    <w:p w14:paraId="0E4BE0DE" w14:textId="77777777" w:rsidR="00C12E6D" w:rsidRPr="00C12E6D" w:rsidRDefault="00C12E6D" w:rsidP="00C12E6D">
      <w:pPr>
        <w:pStyle w:val="a7"/>
        <w:numPr>
          <w:ilvl w:val="1"/>
          <w:numId w:val="12"/>
        </w:numPr>
        <w:spacing w:after="120"/>
        <w:ind w:leftChars="0"/>
        <w:rPr>
          <w:b/>
        </w:rPr>
      </w:pPr>
      <w:r w:rsidRPr="00C12E6D">
        <w:rPr>
          <w:b/>
        </w:rPr>
        <w:t>Case #2-2: At a given time instance (OFDM symbol(s)), both MT and UE are configured/indicated as “D”</w:t>
      </w:r>
    </w:p>
    <w:p w14:paraId="0FFE6A1C"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#3: IAB-node (DU) transmission in UL access slots (of MT)</w:t>
      </w:r>
    </w:p>
    <w:p w14:paraId="2E397643"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#4: IAB-node (DU) transmission in DL access slots (of MT)</w:t>
      </w:r>
    </w:p>
    <w:p w14:paraId="6D7AA3C1" w14:textId="77777777" w:rsidR="00C12E6D" w:rsidRDefault="00C12E6D" w:rsidP="00C12E6D">
      <w:pPr>
        <w:spacing w:after="120"/>
      </w:pPr>
    </w:p>
    <w:p w14:paraId="4F390962" w14:textId="4DB3F884" w:rsidR="00C12E6D" w:rsidRPr="00C12E6D" w:rsidRDefault="00C12E6D" w:rsidP="00C12E6D">
      <w:pPr>
        <w:spacing w:after="120"/>
        <w:ind w:left="330" w:hangingChars="150" w:hanging="330"/>
        <w:rPr>
          <w:b/>
        </w:rPr>
      </w:pPr>
      <w:r w:rsidRPr="00C12E6D">
        <w:rPr>
          <w:b/>
        </w:rPr>
        <w:t>Proposal 1: For case #2, a symbol-level UL rate-matching/cancellation pattern can be considered for MT’s UL slots.</w:t>
      </w:r>
    </w:p>
    <w:p w14:paraId="0F57C872" w14:textId="453CEF45" w:rsidR="00C12E6D" w:rsidRPr="00C12E6D" w:rsidRDefault="00C12E6D" w:rsidP="00C12E6D">
      <w:pPr>
        <w:spacing w:after="120"/>
        <w:ind w:left="330" w:hangingChars="150" w:hanging="330"/>
        <w:rPr>
          <w:b/>
        </w:rPr>
      </w:pPr>
      <w:r w:rsidRPr="00C12E6D">
        <w:rPr>
          <w:rFonts w:hint="eastAsia"/>
          <w:b/>
        </w:rPr>
        <w:t>P</w:t>
      </w:r>
      <w:r w:rsidRPr="00C12E6D">
        <w:rPr>
          <w:b/>
        </w:rPr>
        <w:t xml:space="preserve">roposal 2: For case #2-2, an explicit signaling to permit transmission of IAB-MT in DL slots can be </w:t>
      </w:r>
      <w:r w:rsidRPr="00C12E6D">
        <w:rPr>
          <w:b/>
        </w:rPr>
        <w:lastRenderedPageBreak/>
        <w:t>introduced.</w:t>
      </w:r>
    </w:p>
    <w:p w14:paraId="0D435174" w14:textId="7A270021" w:rsidR="00DB2605" w:rsidRPr="00C12E6D" w:rsidRDefault="00C12E6D" w:rsidP="00B90473">
      <w:pPr>
        <w:spacing w:after="120"/>
        <w:rPr>
          <w:b/>
        </w:rPr>
      </w:pPr>
      <w:r w:rsidRPr="00C12E6D">
        <w:rPr>
          <w:rFonts w:hint="eastAsia"/>
          <w:b/>
        </w:rPr>
        <w:t>P</w:t>
      </w:r>
      <w:r w:rsidRPr="00C12E6D">
        <w:rPr>
          <w:b/>
        </w:rPr>
        <w:t>roposal 3: For case #3 and #4, an explicit signaling for DL power control of IAB-DU can be introduced.</w:t>
      </w:r>
    </w:p>
    <w:p w14:paraId="4FD25752" w14:textId="77777777" w:rsidR="008E0FBD" w:rsidRPr="00C12E6D" w:rsidRDefault="008E0FBD" w:rsidP="008E0FBD">
      <w:pPr>
        <w:spacing w:after="120"/>
        <w:ind w:left="330" w:hangingChars="150" w:hanging="330"/>
        <w:rPr>
          <w:b/>
        </w:rPr>
      </w:pPr>
      <w:r w:rsidRPr="00C12E6D">
        <w:rPr>
          <w:b/>
        </w:rPr>
        <w:t xml:space="preserve">Proposal </w:t>
      </w:r>
      <w:r>
        <w:rPr>
          <w:b/>
        </w:rPr>
        <w:t>4</w:t>
      </w:r>
      <w:r w:rsidRPr="00C12E6D">
        <w:rPr>
          <w:b/>
        </w:rPr>
        <w:t xml:space="preserve">: </w:t>
      </w:r>
      <w:r>
        <w:rPr>
          <w:b/>
        </w:rPr>
        <w:t>Adopt option 1.1 and 1.2, unless other options can provide non-</w:t>
      </w:r>
      <w:r w:rsidRPr="00A63B9F">
        <w:rPr>
          <w:b/>
        </w:rPr>
        <w:t>negligible</w:t>
      </w:r>
      <w:r>
        <w:rPr>
          <w:b/>
        </w:rPr>
        <w:t xml:space="preserve"> performance gain over Rel-16 RIM + Rel-16 CSI/beam measurement and report.</w:t>
      </w:r>
    </w:p>
    <w:p w14:paraId="6043EBDC" w14:textId="0F836506" w:rsidR="00C12E6D" w:rsidRPr="00E21682" w:rsidRDefault="00C12E6D" w:rsidP="00C12E6D">
      <w:pPr>
        <w:spacing w:after="120"/>
        <w:ind w:left="330" w:hangingChars="150" w:hanging="330"/>
        <w:rPr>
          <w:b/>
        </w:rPr>
      </w:pPr>
      <w:r w:rsidRPr="00E21682">
        <w:rPr>
          <w:rFonts w:hint="eastAsia"/>
          <w:b/>
        </w:rPr>
        <w:t>P</w:t>
      </w:r>
      <w:r w:rsidRPr="00E21682">
        <w:rPr>
          <w:b/>
        </w:rPr>
        <w:t xml:space="preserve">roposal </w:t>
      </w:r>
      <w:r w:rsidR="008E0FBD">
        <w:rPr>
          <w:b/>
        </w:rPr>
        <w:t>5</w:t>
      </w:r>
      <w:r w:rsidRPr="00E21682">
        <w:rPr>
          <w:b/>
        </w:rPr>
        <w:t>: Support additional power ratio parameters per DL signal/channel for simultaneous operations.</w:t>
      </w:r>
    </w:p>
    <w:p w14:paraId="28BC44FE" w14:textId="273FD9CF" w:rsidR="00C12E6D" w:rsidRPr="00E21682" w:rsidRDefault="00C12E6D" w:rsidP="00C12E6D">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sidR="007450FD">
        <w:rPr>
          <w:b/>
        </w:rPr>
        <w:t>,</w:t>
      </w:r>
      <w:r w:rsidRPr="00E21682">
        <w:rPr>
          <w:b/>
        </w:rPr>
        <w:t>SS</w:t>
      </w:r>
      <w:proofErr w:type="gramEnd"/>
      <w:r w:rsidRPr="00E21682">
        <w:rPr>
          <w:b/>
        </w:rPr>
        <w:t>_delta</w:t>
      </w:r>
      <w:proofErr w:type="spellEnd"/>
      <w:r w:rsidRPr="00E21682">
        <w:rPr>
          <w:b/>
        </w:rPr>
        <w:t>, at least.</w:t>
      </w:r>
    </w:p>
    <w:p w14:paraId="61579C81" w14:textId="7DB51E9D" w:rsidR="00DB2605" w:rsidRDefault="00C12E6D" w:rsidP="00B90473">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sidR="007450FD">
        <w:rPr>
          <w:b/>
        </w:rPr>
        <w:t>,</w:t>
      </w:r>
      <w:r w:rsidRPr="00E21682">
        <w:rPr>
          <w:b/>
        </w:rPr>
        <w:t>PDCCH</w:t>
      </w:r>
      <w:proofErr w:type="spellEnd"/>
      <w:proofErr w:type="gramEnd"/>
    </w:p>
    <w:p w14:paraId="668AA37E" w14:textId="7F0C1AC0" w:rsidR="00002590" w:rsidRPr="007450FD" w:rsidRDefault="00002590" w:rsidP="007450FD">
      <w:pPr>
        <w:spacing w:after="120"/>
        <w:rPr>
          <w:b/>
        </w:rPr>
      </w:pPr>
      <w:r w:rsidRPr="007450FD">
        <w:rPr>
          <w:b/>
        </w:rPr>
        <w:t xml:space="preserve">Proposal </w:t>
      </w:r>
      <w:r w:rsidR="008E0FBD">
        <w:rPr>
          <w:b/>
        </w:rPr>
        <w:t>6</w:t>
      </w:r>
      <w:r w:rsidRPr="007450FD">
        <w:rPr>
          <w:b/>
        </w:rPr>
        <w:t>: Discuss how to split transmit powers between MT-Tx and DU-Tx.</w:t>
      </w:r>
    </w:p>
    <w:p w14:paraId="3EEE904C" w14:textId="42935A49" w:rsidR="00002590" w:rsidRPr="00E21682" w:rsidRDefault="00002590" w:rsidP="00002590">
      <w:pPr>
        <w:spacing w:after="120"/>
        <w:ind w:left="330" w:hangingChars="150" w:hanging="330"/>
        <w:rPr>
          <w:b/>
        </w:rPr>
      </w:pPr>
      <w:r w:rsidRPr="00E21682">
        <w:rPr>
          <w:rFonts w:hint="eastAsia"/>
          <w:b/>
        </w:rPr>
        <w:t>P</w:t>
      </w:r>
      <w:r w:rsidRPr="00E21682">
        <w:rPr>
          <w:b/>
        </w:rPr>
        <w:t xml:space="preserve">roposal </w:t>
      </w:r>
      <w:r w:rsidR="008E0FBD">
        <w:rPr>
          <w:b/>
        </w:rPr>
        <w:t>7</w:t>
      </w:r>
      <w:r w:rsidRPr="00E21682">
        <w:rPr>
          <w:b/>
        </w:rPr>
        <w:t xml:space="preserve">: </w:t>
      </w:r>
      <w:r>
        <w:rPr>
          <w:b/>
        </w:rPr>
        <w:t>Discuss how to balance received powers between MT-Rx and DU-Rx.</w:t>
      </w:r>
    </w:p>
    <w:p w14:paraId="0BBBBC2A" w14:textId="77777777" w:rsidR="0058121D" w:rsidRPr="00B90473"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4D5A5EBF" w:rsidR="002F6510" w:rsidRDefault="00BE3B20" w:rsidP="002F6510">
      <w:pPr>
        <w:pStyle w:val="a7"/>
        <w:numPr>
          <w:ilvl w:val="0"/>
          <w:numId w:val="3"/>
        </w:numPr>
        <w:spacing w:after="120"/>
        <w:ind w:leftChars="0"/>
      </w:pPr>
      <w:bookmarkStart w:id="7" w:name="_Ref61254254"/>
      <w:bookmarkStart w:id="8" w:name="_Ref498526702"/>
      <w:r>
        <w:rPr>
          <w:rFonts w:hint="eastAsia"/>
        </w:rPr>
        <w:t>3</w:t>
      </w:r>
      <w:r>
        <w:t>GPP RAN1#103-e Chairman’s notes</w:t>
      </w:r>
      <w:bookmarkEnd w:id="7"/>
    </w:p>
    <w:p w14:paraId="1EF19629" w14:textId="69544CC7" w:rsidR="005375C5" w:rsidRDefault="005375C5" w:rsidP="002F6510">
      <w:pPr>
        <w:pStyle w:val="a7"/>
        <w:numPr>
          <w:ilvl w:val="0"/>
          <w:numId w:val="3"/>
        </w:numPr>
        <w:spacing w:after="120"/>
        <w:ind w:leftChars="0"/>
      </w:pPr>
      <w:bookmarkStart w:id="9" w:name="_Ref71551419"/>
      <w:r>
        <w:rPr>
          <w:rFonts w:hint="eastAsia"/>
        </w:rPr>
        <w:t>3</w:t>
      </w:r>
      <w:r>
        <w:t>GPP RAN1#104-e Chairman’s notes</w:t>
      </w:r>
      <w:bookmarkEnd w:id="8"/>
      <w:bookmarkEnd w:id="9"/>
    </w:p>
    <w:sectPr w:rsidR="005375C5"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3ED2D" w14:textId="77777777" w:rsidR="0022587F" w:rsidRDefault="0022587F" w:rsidP="00334902">
      <w:pPr>
        <w:spacing w:after="120"/>
      </w:pPr>
      <w:r>
        <w:separator/>
      </w:r>
    </w:p>
  </w:endnote>
  <w:endnote w:type="continuationSeparator" w:id="0">
    <w:p w14:paraId="69646AF3" w14:textId="77777777" w:rsidR="0022587F" w:rsidRDefault="0022587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B6CB5" w:rsidRDefault="001B6CB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B6CB5" w:rsidRPr="006A7292" w:rsidRDefault="001B6CB5">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B6CB5" w:rsidRPr="006A7292" w:rsidRDefault="001B6CB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B6CB5" w:rsidRDefault="001B6CB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2F89" w14:textId="77777777" w:rsidR="0022587F" w:rsidRDefault="0022587F" w:rsidP="00334902">
      <w:pPr>
        <w:spacing w:after="120"/>
      </w:pPr>
      <w:r>
        <w:separator/>
      </w:r>
    </w:p>
  </w:footnote>
  <w:footnote w:type="continuationSeparator" w:id="0">
    <w:p w14:paraId="5503B9D6" w14:textId="77777777" w:rsidR="0022587F" w:rsidRDefault="0022587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B6CB5" w:rsidRDefault="001B6CB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B6CB5" w:rsidRDefault="001B6CB5">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B6CB5" w:rsidRDefault="001B6CB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2EA2FB3"/>
    <w:multiLevelType w:val="hybridMultilevel"/>
    <w:tmpl w:val="7424FF4A"/>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8FA078E"/>
    <w:multiLevelType w:val="hybridMultilevel"/>
    <w:tmpl w:val="F514AAB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
  </w:num>
  <w:num w:numId="4">
    <w:abstractNumId w:val="3"/>
  </w:num>
  <w:num w:numId="5">
    <w:abstractNumId w:val="13"/>
  </w:num>
  <w:num w:numId="6">
    <w:abstractNumId w:val="0"/>
  </w:num>
  <w:num w:numId="7">
    <w:abstractNumId w:val="4"/>
  </w:num>
  <w:num w:numId="8">
    <w:abstractNumId w:val="7"/>
  </w:num>
  <w:num w:numId="9">
    <w:abstractNumId w:val="9"/>
  </w:num>
  <w:num w:numId="10">
    <w:abstractNumId w:val="5"/>
  </w:num>
  <w:num w:numId="11">
    <w:abstractNumId w:val="10"/>
  </w:num>
  <w:num w:numId="12">
    <w:abstractNumId w:val="8"/>
  </w:num>
  <w:num w:numId="13">
    <w:abstractNumId w:val="2"/>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2590"/>
    <w:rsid w:val="00002AF8"/>
    <w:rsid w:val="0000307F"/>
    <w:rsid w:val="0000376C"/>
    <w:rsid w:val="00006680"/>
    <w:rsid w:val="00007A46"/>
    <w:rsid w:val="00015077"/>
    <w:rsid w:val="000157C6"/>
    <w:rsid w:val="00015CA1"/>
    <w:rsid w:val="00015D6A"/>
    <w:rsid w:val="00017334"/>
    <w:rsid w:val="000174C7"/>
    <w:rsid w:val="000179E3"/>
    <w:rsid w:val="00020746"/>
    <w:rsid w:val="00024E0C"/>
    <w:rsid w:val="00024F23"/>
    <w:rsid w:val="00025107"/>
    <w:rsid w:val="0002516B"/>
    <w:rsid w:val="0002548E"/>
    <w:rsid w:val="00026864"/>
    <w:rsid w:val="000311F5"/>
    <w:rsid w:val="000315DF"/>
    <w:rsid w:val="00031702"/>
    <w:rsid w:val="0003175D"/>
    <w:rsid w:val="00032260"/>
    <w:rsid w:val="000326A6"/>
    <w:rsid w:val="00033287"/>
    <w:rsid w:val="000351A3"/>
    <w:rsid w:val="00040705"/>
    <w:rsid w:val="0004095F"/>
    <w:rsid w:val="00041080"/>
    <w:rsid w:val="00042060"/>
    <w:rsid w:val="0004249A"/>
    <w:rsid w:val="000436E9"/>
    <w:rsid w:val="00044597"/>
    <w:rsid w:val="00044779"/>
    <w:rsid w:val="000467AA"/>
    <w:rsid w:val="000503B8"/>
    <w:rsid w:val="00051369"/>
    <w:rsid w:val="00051DC7"/>
    <w:rsid w:val="00053517"/>
    <w:rsid w:val="0005471B"/>
    <w:rsid w:val="0005486E"/>
    <w:rsid w:val="00054D15"/>
    <w:rsid w:val="00055C2D"/>
    <w:rsid w:val="0005698B"/>
    <w:rsid w:val="000572EB"/>
    <w:rsid w:val="00057D87"/>
    <w:rsid w:val="00060748"/>
    <w:rsid w:val="0006140F"/>
    <w:rsid w:val="00061DC4"/>
    <w:rsid w:val="00062940"/>
    <w:rsid w:val="00062D1F"/>
    <w:rsid w:val="00063242"/>
    <w:rsid w:val="00063365"/>
    <w:rsid w:val="00063394"/>
    <w:rsid w:val="00063C5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417A"/>
    <w:rsid w:val="00075E97"/>
    <w:rsid w:val="00076217"/>
    <w:rsid w:val="00076876"/>
    <w:rsid w:val="00076EA8"/>
    <w:rsid w:val="000804D3"/>
    <w:rsid w:val="0008099F"/>
    <w:rsid w:val="0008301D"/>
    <w:rsid w:val="0008379C"/>
    <w:rsid w:val="00083BF7"/>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633"/>
    <w:rsid w:val="000A3363"/>
    <w:rsid w:val="000A3513"/>
    <w:rsid w:val="000A5647"/>
    <w:rsid w:val="000A565B"/>
    <w:rsid w:val="000A5723"/>
    <w:rsid w:val="000A629F"/>
    <w:rsid w:val="000A6663"/>
    <w:rsid w:val="000A741D"/>
    <w:rsid w:val="000B1076"/>
    <w:rsid w:val="000B1924"/>
    <w:rsid w:val="000B1CA5"/>
    <w:rsid w:val="000B33C3"/>
    <w:rsid w:val="000B433D"/>
    <w:rsid w:val="000B4E8A"/>
    <w:rsid w:val="000B6AB4"/>
    <w:rsid w:val="000B74C6"/>
    <w:rsid w:val="000B7B24"/>
    <w:rsid w:val="000C039B"/>
    <w:rsid w:val="000C03AD"/>
    <w:rsid w:val="000C07C0"/>
    <w:rsid w:val="000C1F1E"/>
    <w:rsid w:val="000C2077"/>
    <w:rsid w:val="000C26AC"/>
    <w:rsid w:val="000C31FF"/>
    <w:rsid w:val="000C4119"/>
    <w:rsid w:val="000C4588"/>
    <w:rsid w:val="000C6002"/>
    <w:rsid w:val="000C7436"/>
    <w:rsid w:val="000C7479"/>
    <w:rsid w:val="000C7552"/>
    <w:rsid w:val="000D2376"/>
    <w:rsid w:val="000D25D3"/>
    <w:rsid w:val="000D2717"/>
    <w:rsid w:val="000D39CD"/>
    <w:rsid w:val="000D3B1A"/>
    <w:rsid w:val="000D3CE4"/>
    <w:rsid w:val="000D516F"/>
    <w:rsid w:val="000D696A"/>
    <w:rsid w:val="000D6B46"/>
    <w:rsid w:val="000E07B8"/>
    <w:rsid w:val="000E312E"/>
    <w:rsid w:val="000E354C"/>
    <w:rsid w:val="000E3588"/>
    <w:rsid w:val="000E476D"/>
    <w:rsid w:val="000E6747"/>
    <w:rsid w:val="000E7395"/>
    <w:rsid w:val="000E7A41"/>
    <w:rsid w:val="000F036E"/>
    <w:rsid w:val="000F05B6"/>
    <w:rsid w:val="000F157F"/>
    <w:rsid w:val="000F1952"/>
    <w:rsid w:val="000F2033"/>
    <w:rsid w:val="000F255D"/>
    <w:rsid w:val="000F26F6"/>
    <w:rsid w:val="000F29E3"/>
    <w:rsid w:val="000F2B1E"/>
    <w:rsid w:val="000F3963"/>
    <w:rsid w:val="000F453B"/>
    <w:rsid w:val="000F49D8"/>
    <w:rsid w:val="000F4B38"/>
    <w:rsid w:val="000F635E"/>
    <w:rsid w:val="000F6B87"/>
    <w:rsid w:val="000F6F4D"/>
    <w:rsid w:val="00100242"/>
    <w:rsid w:val="001002CE"/>
    <w:rsid w:val="00100A7C"/>
    <w:rsid w:val="00101D82"/>
    <w:rsid w:val="0010209C"/>
    <w:rsid w:val="001020AC"/>
    <w:rsid w:val="00104026"/>
    <w:rsid w:val="00104A7E"/>
    <w:rsid w:val="00104C88"/>
    <w:rsid w:val="0010560B"/>
    <w:rsid w:val="00106180"/>
    <w:rsid w:val="00106612"/>
    <w:rsid w:val="00106F3A"/>
    <w:rsid w:val="00111068"/>
    <w:rsid w:val="001110E7"/>
    <w:rsid w:val="001113F1"/>
    <w:rsid w:val="001121D6"/>
    <w:rsid w:val="00113E6E"/>
    <w:rsid w:val="00114D67"/>
    <w:rsid w:val="00114FB4"/>
    <w:rsid w:val="001152C5"/>
    <w:rsid w:val="00115808"/>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3A46"/>
    <w:rsid w:val="00133AC8"/>
    <w:rsid w:val="001347DC"/>
    <w:rsid w:val="00134A28"/>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30CC"/>
    <w:rsid w:val="0015449F"/>
    <w:rsid w:val="00154F36"/>
    <w:rsid w:val="001550E7"/>
    <w:rsid w:val="00155EE4"/>
    <w:rsid w:val="00156C80"/>
    <w:rsid w:val="00156D2C"/>
    <w:rsid w:val="00157655"/>
    <w:rsid w:val="00160404"/>
    <w:rsid w:val="00161715"/>
    <w:rsid w:val="001639B8"/>
    <w:rsid w:val="00165A2A"/>
    <w:rsid w:val="00166D78"/>
    <w:rsid w:val="00167CFA"/>
    <w:rsid w:val="00171DC6"/>
    <w:rsid w:val="0017222C"/>
    <w:rsid w:val="0017370E"/>
    <w:rsid w:val="00174704"/>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488"/>
    <w:rsid w:val="001869ED"/>
    <w:rsid w:val="00187339"/>
    <w:rsid w:val="00187F4B"/>
    <w:rsid w:val="00190CF9"/>
    <w:rsid w:val="00192F00"/>
    <w:rsid w:val="00192FC3"/>
    <w:rsid w:val="001940E3"/>
    <w:rsid w:val="0019478B"/>
    <w:rsid w:val="00194E68"/>
    <w:rsid w:val="0019501F"/>
    <w:rsid w:val="001970A1"/>
    <w:rsid w:val="001A0093"/>
    <w:rsid w:val="001A036F"/>
    <w:rsid w:val="001A1264"/>
    <w:rsid w:val="001A1CD6"/>
    <w:rsid w:val="001A1DE0"/>
    <w:rsid w:val="001A3227"/>
    <w:rsid w:val="001A49AE"/>
    <w:rsid w:val="001A570A"/>
    <w:rsid w:val="001A5871"/>
    <w:rsid w:val="001A61AC"/>
    <w:rsid w:val="001A65BE"/>
    <w:rsid w:val="001A668D"/>
    <w:rsid w:val="001A6D05"/>
    <w:rsid w:val="001A7060"/>
    <w:rsid w:val="001A7F6F"/>
    <w:rsid w:val="001B2BC3"/>
    <w:rsid w:val="001B37BC"/>
    <w:rsid w:val="001B382B"/>
    <w:rsid w:val="001B38EB"/>
    <w:rsid w:val="001B3BA7"/>
    <w:rsid w:val="001B4E8F"/>
    <w:rsid w:val="001B508F"/>
    <w:rsid w:val="001B53B0"/>
    <w:rsid w:val="001B6CB5"/>
    <w:rsid w:val="001C17CF"/>
    <w:rsid w:val="001C21AA"/>
    <w:rsid w:val="001C231A"/>
    <w:rsid w:val="001C2570"/>
    <w:rsid w:val="001C3485"/>
    <w:rsid w:val="001C36EE"/>
    <w:rsid w:val="001C3815"/>
    <w:rsid w:val="001C3833"/>
    <w:rsid w:val="001C43D8"/>
    <w:rsid w:val="001C5290"/>
    <w:rsid w:val="001C5A19"/>
    <w:rsid w:val="001C6093"/>
    <w:rsid w:val="001C73A6"/>
    <w:rsid w:val="001C7F9C"/>
    <w:rsid w:val="001D0C2E"/>
    <w:rsid w:val="001D0F55"/>
    <w:rsid w:val="001D11BC"/>
    <w:rsid w:val="001D2635"/>
    <w:rsid w:val="001D26AD"/>
    <w:rsid w:val="001D3258"/>
    <w:rsid w:val="001D4741"/>
    <w:rsid w:val="001D4BA9"/>
    <w:rsid w:val="001D5AA5"/>
    <w:rsid w:val="001D709A"/>
    <w:rsid w:val="001E06E9"/>
    <w:rsid w:val="001E092A"/>
    <w:rsid w:val="001E1985"/>
    <w:rsid w:val="001E1B05"/>
    <w:rsid w:val="001E283F"/>
    <w:rsid w:val="001E7059"/>
    <w:rsid w:val="001E70F7"/>
    <w:rsid w:val="001E78E7"/>
    <w:rsid w:val="001F08A9"/>
    <w:rsid w:val="001F1672"/>
    <w:rsid w:val="001F1F2B"/>
    <w:rsid w:val="001F27F2"/>
    <w:rsid w:val="001F2C56"/>
    <w:rsid w:val="001F33A5"/>
    <w:rsid w:val="001F34D0"/>
    <w:rsid w:val="001F3620"/>
    <w:rsid w:val="001F3A1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4606"/>
    <w:rsid w:val="0020524A"/>
    <w:rsid w:val="00206036"/>
    <w:rsid w:val="002062CF"/>
    <w:rsid w:val="0020662F"/>
    <w:rsid w:val="002073B5"/>
    <w:rsid w:val="00207C0F"/>
    <w:rsid w:val="0021079D"/>
    <w:rsid w:val="00211382"/>
    <w:rsid w:val="00211AD2"/>
    <w:rsid w:val="00211D20"/>
    <w:rsid w:val="002121BC"/>
    <w:rsid w:val="00213B9D"/>
    <w:rsid w:val="00215303"/>
    <w:rsid w:val="00215872"/>
    <w:rsid w:val="00217548"/>
    <w:rsid w:val="0021796A"/>
    <w:rsid w:val="00217F3D"/>
    <w:rsid w:val="00221F80"/>
    <w:rsid w:val="00222160"/>
    <w:rsid w:val="002247A8"/>
    <w:rsid w:val="00224EEE"/>
    <w:rsid w:val="0022587F"/>
    <w:rsid w:val="00225992"/>
    <w:rsid w:val="002259B4"/>
    <w:rsid w:val="00230071"/>
    <w:rsid w:val="00230380"/>
    <w:rsid w:val="00231E44"/>
    <w:rsid w:val="00231F7F"/>
    <w:rsid w:val="00232FD2"/>
    <w:rsid w:val="00234BDF"/>
    <w:rsid w:val="00236A0E"/>
    <w:rsid w:val="00240717"/>
    <w:rsid w:val="0024091E"/>
    <w:rsid w:val="002410BF"/>
    <w:rsid w:val="002412DD"/>
    <w:rsid w:val="00241705"/>
    <w:rsid w:val="00241B21"/>
    <w:rsid w:val="00241D9D"/>
    <w:rsid w:val="0024233C"/>
    <w:rsid w:val="00242F85"/>
    <w:rsid w:val="0024573D"/>
    <w:rsid w:val="0024581A"/>
    <w:rsid w:val="00245DC5"/>
    <w:rsid w:val="00245E9E"/>
    <w:rsid w:val="00246486"/>
    <w:rsid w:val="00246D7F"/>
    <w:rsid w:val="00247F42"/>
    <w:rsid w:val="00250139"/>
    <w:rsid w:val="00250245"/>
    <w:rsid w:val="0025054D"/>
    <w:rsid w:val="0025101D"/>
    <w:rsid w:val="0025112C"/>
    <w:rsid w:val="00252168"/>
    <w:rsid w:val="002528CF"/>
    <w:rsid w:val="00252D43"/>
    <w:rsid w:val="00253ED7"/>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60A1"/>
    <w:rsid w:val="00276C67"/>
    <w:rsid w:val="0028003D"/>
    <w:rsid w:val="00280B2A"/>
    <w:rsid w:val="00280BE1"/>
    <w:rsid w:val="00280D47"/>
    <w:rsid w:val="00280D6E"/>
    <w:rsid w:val="00280FB5"/>
    <w:rsid w:val="002815DF"/>
    <w:rsid w:val="00281D96"/>
    <w:rsid w:val="0028247F"/>
    <w:rsid w:val="00285D76"/>
    <w:rsid w:val="00286C37"/>
    <w:rsid w:val="00286CF6"/>
    <w:rsid w:val="002878F0"/>
    <w:rsid w:val="00287B2D"/>
    <w:rsid w:val="002905A7"/>
    <w:rsid w:val="00290848"/>
    <w:rsid w:val="00290A4F"/>
    <w:rsid w:val="002917A0"/>
    <w:rsid w:val="00293257"/>
    <w:rsid w:val="00296D59"/>
    <w:rsid w:val="00297449"/>
    <w:rsid w:val="002A1047"/>
    <w:rsid w:val="002A202E"/>
    <w:rsid w:val="002A2210"/>
    <w:rsid w:val="002A2935"/>
    <w:rsid w:val="002A30A1"/>
    <w:rsid w:val="002A3976"/>
    <w:rsid w:val="002A448F"/>
    <w:rsid w:val="002A45BA"/>
    <w:rsid w:val="002A610A"/>
    <w:rsid w:val="002A727B"/>
    <w:rsid w:val="002A7A0D"/>
    <w:rsid w:val="002A7C2F"/>
    <w:rsid w:val="002A7E22"/>
    <w:rsid w:val="002A7FDA"/>
    <w:rsid w:val="002B0D62"/>
    <w:rsid w:val="002B10B3"/>
    <w:rsid w:val="002B265D"/>
    <w:rsid w:val="002B28AB"/>
    <w:rsid w:val="002B3E98"/>
    <w:rsid w:val="002B3F4B"/>
    <w:rsid w:val="002B4812"/>
    <w:rsid w:val="002B4903"/>
    <w:rsid w:val="002B506F"/>
    <w:rsid w:val="002B716F"/>
    <w:rsid w:val="002B77C9"/>
    <w:rsid w:val="002B7E9B"/>
    <w:rsid w:val="002C2901"/>
    <w:rsid w:val="002C3DD0"/>
    <w:rsid w:val="002C3FFD"/>
    <w:rsid w:val="002C4879"/>
    <w:rsid w:val="002C4A86"/>
    <w:rsid w:val="002C5D5F"/>
    <w:rsid w:val="002C60EB"/>
    <w:rsid w:val="002C6210"/>
    <w:rsid w:val="002C7399"/>
    <w:rsid w:val="002C78DF"/>
    <w:rsid w:val="002C7FB4"/>
    <w:rsid w:val="002D1C5B"/>
    <w:rsid w:val="002D2585"/>
    <w:rsid w:val="002D2A7E"/>
    <w:rsid w:val="002D35A4"/>
    <w:rsid w:val="002D4400"/>
    <w:rsid w:val="002D4B09"/>
    <w:rsid w:val="002D4B81"/>
    <w:rsid w:val="002D5A96"/>
    <w:rsid w:val="002D5E99"/>
    <w:rsid w:val="002D5FC5"/>
    <w:rsid w:val="002D5FCE"/>
    <w:rsid w:val="002D71A1"/>
    <w:rsid w:val="002D77CA"/>
    <w:rsid w:val="002D7EA8"/>
    <w:rsid w:val="002E125F"/>
    <w:rsid w:val="002E264F"/>
    <w:rsid w:val="002E2842"/>
    <w:rsid w:val="002E2CF6"/>
    <w:rsid w:val="002E35B0"/>
    <w:rsid w:val="002E48B5"/>
    <w:rsid w:val="002E491E"/>
    <w:rsid w:val="002E5FB5"/>
    <w:rsid w:val="002E6AC0"/>
    <w:rsid w:val="002E6E34"/>
    <w:rsid w:val="002E6EF3"/>
    <w:rsid w:val="002E7AA2"/>
    <w:rsid w:val="002F11BC"/>
    <w:rsid w:val="002F14B7"/>
    <w:rsid w:val="002F2780"/>
    <w:rsid w:val="002F37E3"/>
    <w:rsid w:val="002F3C79"/>
    <w:rsid w:val="002F3FF1"/>
    <w:rsid w:val="002F4127"/>
    <w:rsid w:val="002F4779"/>
    <w:rsid w:val="002F53FB"/>
    <w:rsid w:val="002F5DB5"/>
    <w:rsid w:val="002F6241"/>
    <w:rsid w:val="002F6510"/>
    <w:rsid w:val="002F6C47"/>
    <w:rsid w:val="002F6FC9"/>
    <w:rsid w:val="002F710F"/>
    <w:rsid w:val="00301FCC"/>
    <w:rsid w:val="003027ED"/>
    <w:rsid w:val="003038A7"/>
    <w:rsid w:val="00303BFD"/>
    <w:rsid w:val="00303DE4"/>
    <w:rsid w:val="00304012"/>
    <w:rsid w:val="003044E2"/>
    <w:rsid w:val="0030479A"/>
    <w:rsid w:val="00304944"/>
    <w:rsid w:val="00304D32"/>
    <w:rsid w:val="00305BBB"/>
    <w:rsid w:val="00305F29"/>
    <w:rsid w:val="0030655C"/>
    <w:rsid w:val="00307F93"/>
    <w:rsid w:val="00311353"/>
    <w:rsid w:val="00311A37"/>
    <w:rsid w:val="00311F31"/>
    <w:rsid w:val="00312572"/>
    <w:rsid w:val="00312DF6"/>
    <w:rsid w:val="00314053"/>
    <w:rsid w:val="00314952"/>
    <w:rsid w:val="00314E9F"/>
    <w:rsid w:val="00314F5C"/>
    <w:rsid w:val="00315573"/>
    <w:rsid w:val="00315D7A"/>
    <w:rsid w:val="00315E39"/>
    <w:rsid w:val="0031607A"/>
    <w:rsid w:val="00317C57"/>
    <w:rsid w:val="003214FD"/>
    <w:rsid w:val="00323440"/>
    <w:rsid w:val="003234C1"/>
    <w:rsid w:val="00323CF3"/>
    <w:rsid w:val="00324FCE"/>
    <w:rsid w:val="00325770"/>
    <w:rsid w:val="003263BA"/>
    <w:rsid w:val="00327452"/>
    <w:rsid w:val="00327817"/>
    <w:rsid w:val="00327EBA"/>
    <w:rsid w:val="00331660"/>
    <w:rsid w:val="0033268C"/>
    <w:rsid w:val="00332E00"/>
    <w:rsid w:val="00333287"/>
    <w:rsid w:val="00334457"/>
    <w:rsid w:val="00334667"/>
    <w:rsid w:val="003347A7"/>
    <w:rsid w:val="00334902"/>
    <w:rsid w:val="00336009"/>
    <w:rsid w:val="0033704F"/>
    <w:rsid w:val="00337781"/>
    <w:rsid w:val="0034000B"/>
    <w:rsid w:val="00341105"/>
    <w:rsid w:val="0034130D"/>
    <w:rsid w:val="00341809"/>
    <w:rsid w:val="00341D90"/>
    <w:rsid w:val="00341E7C"/>
    <w:rsid w:val="003428AD"/>
    <w:rsid w:val="00343994"/>
    <w:rsid w:val="0034512E"/>
    <w:rsid w:val="0034584F"/>
    <w:rsid w:val="0034662B"/>
    <w:rsid w:val="0034733E"/>
    <w:rsid w:val="00347C3E"/>
    <w:rsid w:val="00347FD2"/>
    <w:rsid w:val="00350CC5"/>
    <w:rsid w:val="00351F6D"/>
    <w:rsid w:val="00351F7B"/>
    <w:rsid w:val="00352F78"/>
    <w:rsid w:val="00353AAB"/>
    <w:rsid w:val="00353BB1"/>
    <w:rsid w:val="00353C13"/>
    <w:rsid w:val="00354371"/>
    <w:rsid w:val="0035553E"/>
    <w:rsid w:val="00355924"/>
    <w:rsid w:val="00355A5B"/>
    <w:rsid w:val="00356455"/>
    <w:rsid w:val="003564DA"/>
    <w:rsid w:val="00356ADD"/>
    <w:rsid w:val="00356F18"/>
    <w:rsid w:val="00361AC5"/>
    <w:rsid w:val="0036223D"/>
    <w:rsid w:val="003623E6"/>
    <w:rsid w:val="0036261C"/>
    <w:rsid w:val="0036298A"/>
    <w:rsid w:val="003633B0"/>
    <w:rsid w:val="00363A05"/>
    <w:rsid w:val="0036518C"/>
    <w:rsid w:val="00365672"/>
    <w:rsid w:val="00365A2E"/>
    <w:rsid w:val="00365A76"/>
    <w:rsid w:val="00365EE7"/>
    <w:rsid w:val="00366782"/>
    <w:rsid w:val="0036797A"/>
    <w:rsid w:val="003702C6"/>
    <w:rsid w:val="00371404"/>
    <w:rsid w:val="003734A6"/>
    <w:rsid w:val="003747B4"/>
    <w:rsid w:val="00375275"/>
    <w:rsid w:val="00376792"/>
    <w:rsid w:val="00377588"/>
    <w:rsid w:val="00380595"/>
    <w:rsid w:val="00380C0A"/>
    <w:rsid w:val="00380D78"/>
    <w:rsid w:val="00382E1A"/>
    <w:rsid w:val="00383CF4"/>
    <w:rsid w:val="00383DD5"/>
    <w:rsid w:val="00384AC1"/>
    <w:rsid w:val="00386199"/>
    <w:rsid w:val="003864A2"/>
    <w:rsid w:val="00387667"/>
    <w:rsid w:val="003909B6"/>
    <w:rsid w:val="00391C7F"/>
    <w:rsid w:val="0039242F"/>
    <w:rsid w:val="00392F1C"/>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491C"/>
    <w:rsid w:val="003B7A65"/>
    <w:rsid w:val="003B7DA3"/>
    <w:rsid w:val="003C1798"/>
    <w:rsid w:val="003C1812"/>
    <w:rsid w:val="003C1872"/>
    <w:rsid w:val="003C2E31"/>
    <w:rsid w:val="003C37C4"/>
    <w:rsid w:val="003C41A8"/>
    <w:rsid w:val="003C45DE"/>
    <w:rsid w:val="003C46B2"/>
    <w:rsid w:val="003C48AE"/>
    <w:rsid w:val="003C502F"/>
    <w:rsid w:val="003C57F1"/>
    <w:rsid w:val="003D0094"/>
    <w:rsid w:val="003D0511"/>
    <w:rsid w:val="003D286D"/>
    <w:rsid w:val="003D2C87"/>
    <w:rsid w:val="003D2ECB"/>
    <w:rsid w:val="003D4328"/>
    <w:rsid w:val="003D4B44"/>
    <w:rsid w:val="003D503A"/>
    <w:rsid w:val="003D59BA"/>
    <w:rsid w:val="003D6E10"/>
    <w:rsid w:val="003E0BA3"/>
    <w:rsid w:val="003E1638"/>
    <w:rsid w:val="003E1734"/>
    <w:rsid w:val="003E1884"/>
    <w:rsid w:val="003E1E19"/>
    <w:rsid w:val="003E226C"/>
    <w:rsid w:val="003E2351"/>
    <w:rsid w:val="003E4265"/>
    <w:rsid w:val="003E547D"/>
    <w:rsid w:val="003E6121"/>
    <w:rsid w:val="003E66C7"/>
    <w:rsid w:val="003E6B31"/>
    <w:rsid w:val="003E75AE"/>
    <w:rsid w:val="003E7737"/>
    <w:rsid w:val="003F17DC"/>
    <w:rsid w:val="003F1C8E"/>
    <w:rsid w:val="003F2232"/>
    <w:rsid w:val="003F309B"/>
    <w:rsid w:val="003F4876"/>
    <w:rsid w:val="003F651F"/>
    <w:rsid w:val="003F6640"/>
    <w:rsid w:val="003F783C"/>
    <w:rsid w:val="00401B46"/>
    <w:rsid w:val="00401BD1"/>
    <w:rsid w:val="00402050"/>
    <w:rsid w:val="00402082"/>
    <w:rsid w:val="00403576"/>
    <w:rsid w:val="00403FA7"/>
    <w:rsid w:val="00404113"/>
    <w:rsid w:val="004054A4"/>
    <w:rsid w:val="00405C70"/>
    <w:rsid w:val="00406253"/>
    <w:rsid w:val="00406B49"/>
    <w:rsid w:val="00406F53"/>
    <w:rsid w:val="00407052"/>
    <w:rsid w:val="00407977"/>
    <w:rsid w:val="00407FD3"/>
    <w:rsid w:val="0041118F"/>
    <w:rsid w:val="004116D0"/>
    <w:rsid w:val="00412751"/>
    <w:rsid w:val="00412799"/>
    <w:rsid w:val="00412A5F"/>
    <w:rsid w:val="004131FC"/>
    <w:rsid w:val="00414A12"/>
    <w:rsid w:val="004157AC"/>
    <w:rsid w:val="00415B9A"/>
    <w:rsid w:val="00415EAE"/>
    <w:rsid w:val="004171B5"/>
    <w:rsid w:val="00417A2D"/>
    <w:rsid w:val="00417BB3"/>
    <w:rsid w:val="00420C05"/>
    <w:rsid w:val="0042337D"/>
    <w:rsid w:val="00424475"/>
    <w:rsid w:val="00424F02"/>
    <w:rsid w:val="00431862"/>
    <w:rsid w:val="004322A8"/>
    <w:rsid w:val="0044013F"/>
    <w:rsid w:val="004403B1"/>
    <w:rsid w:val="00441C2C"/>
    <w:rsid w:val="00441D6D"/>
    <w:rsid w:val="00443A4E"/>
    <w:rsid w:val="004454BD"/>
    <w:rsid w:val="00445E68"/>
    <w:rsid w:val="004474D2"/>
    <w:rsid w:val="00450818"/>
    <w:rsid w:val="00450ADD"/>
    <w:rsid w:val="00453A22"/>
    <w:rsid w:val="00453D50"/>
    <w:rsid w:val="00453ECB"/>
    <w:rsid w:val="004540A2"/>
    <w:rsid w:val="004540E7"/>
    <w:rsid w:val="004544F3"/>
    <w:rsid w:val="00454500"/>
    <w:rsid w:val="004551FA"/>
    <w:rsid w:val="00455491"/>
    <w:rsid w:val="00456937"/>
    <w:rsid w:val="00457406"/>
    <w:rsid w:val="00460D43"/>
    <w:rsid w:val="00461382"/>
    <w:rsid w:val="0046165B"/>
    <w:rsid w:val="004648E7"/>
    <w:rsid w:val="00464C5D"/>
    <w:rsid w:val="00464D20"/>
    <w:rsid w:val="004656F1"/>
    <w:rsid w:val="00465D8B"/>
    <w:rsid w:val="004666A0"/>
    <w:rsid w:val="00466C40"/>
    <w:rsid w:val="00467965"/>
    <w:rsid w:val="00470757"/>
    <w:rsid w:val="004710A3"/>
    <w:rsid w:val="00471563"/>
    <w:rsid w:val="004719A0"/>
    <w:rsid w:val="00471C65"/>
    <w:rsid w:val="00474D86"/>
    <w:rsid w:val="004752D1"/>
    <w:rsid w:val="004753FE"/>
    <w:rsid w:val="0047569D"/>
    <w:rsid w:val="004762FB"/>
    <w:rsid w:val="00476C26"/>
    <w:rsid w:val="00477474"/>
    <w:rsid w:val="004800FC"/>
    <w:rsid w:val="00480543"/>
    <w:rsid w:val="00483490"/>
    <w:rsid w:val="004837AE"/>
    <w:rsid w:val="00483929"/>
    <w:rsid w:val="00485013"/>
    <w:rsid w:val="0048589C"/>
    <w:rsid w:val="00485D65"/>
    <w:rsid w:val="00486F2A"/>
    <w:rsid w:val="00490560"/>
    <w:rsid w:val="004910D2"/>
    <w:rsid w:val="00491B2A"/>
    <w:rsid w:val="00492372"/>
    <w:rsid w:val="00492D7B"/>
    <w:rsid w:val="00494ADD"/>
    <w:rsid w:val="00494EAF"/>
    <w:rsid w:val="00495A47"/>
    <w:rsid w:val="00495B87"/>
    <w:rsid w:val="004965B0"/>
    <w:rsid w:val="00496A26"/>
    <w:rsid w:val="00497943"/>
    <w:rsid w:val="00497D24"/>
    <w:rsid w:val="004A18D0"/>
    <w:rsid w:val="004A3385"/>
    <w:rsid w:val="004A469F"/>
    <w:rsid w:val="004A5365"/>
    <w:rsid w:val="004A5BB3"/>
    <w:rsid w:val="004A72BF"/>
    <w:rsid w:val="004B19AB"/>
    <w:rsid w:val="004B1A8C"/>
    <w:rsid w:val="004B1CC4"/>
    <w:rsid w:val="004B24E3"/>
    <w:rsid w:val="004B31D3"/>
    <w:rsid w:val="004B399F"/>
    <w:rsid w:val="004B47E3"/>
    <w:rsid w:val="004B4A9D"/>
    <w:rsid w:val="004B59C1"/>
    <w:rsid w:val="004B606D"/>
    <w:rsid w:val="004B6BD6"/>
    <w:rsid w:val="004B777E"/>
    <w:rsid w:val="004C052B"/>
    <w:rsid w:val="004C2ABD"/>
    <w:rsid w:val="004C379C"/>
    <w:rsid w:val="004C39C6"/>
    <w:rsid w:val="004C4CBF"/>
    <w:rsid w:val="004C5F36"/>
    <w:rsid w:val="004C6002"/>
    <w:rsid w:val="004C7022"/>
    <w:rsid w:val="004C7112"/>
    <w:rsid w:val="004D02BD"/>
    <w:rsid w:val="004D04BA"/>
    <w:rsid w:val="004D0FE1"/>
    <w:rsid w:val="004D10F7"/>
    <w:rsid w:val="004D2F40"/>
    <w:rsid w:val="004D395B"/>
    <w:rsid w:val="004D5727"/>
    <w:rsid w:val="004D5865"/>
    <w:rsid w:val="004D620B"/>
    <w:rsid w:val="004D6C4F"/>
    <w:rsid w:val="004D7B4C"/>
    <w:rsid w:val="004E1661"/>
    <w:rsid w:val="004E1BBB"/>
    <w:rsid w:val="004E2358"/>
    <w:rsid w:val="004E2746"/>
    <w:rsid w:val="004E4863"/>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31A4"/>
    <w:rsid w:val="004F31A9"/>
    <w:rsid w:val="004F3664"/>
    <w:rsid w:val="004F38C3"/>
    <w:rsid w:val="004F4490"/>
    <w:rsid w:val="004F4DBC"/>
    <w:rsid w:val="004F51FB"/>
    <w:rsid w:val="004F5748"/>
    <w:rsid w:val="00500885"/>
    <w:rsid w:val="0050157D"/>
    <w:rsid w:val="00501937"/>
    <w:rsid w:val="005035B1"/>
    <w:rsid w:val="005040FE"/>
    <w:rsid w:val="00504E1B"/>
    <w:rsid w:val="005058FF"/>
    <w:rsid w:val="005067D7"/>
    <w:rsid w:val="0050787E"/>
    <w:rsid w:val="00510231"/>
    <w:rsid w:val="00510795"/>
    <w:rsid w:val="00510A1D"/>
    <w:rsid w:val="00510C77"/>
    <w:rsid w:val="00510CA6"/>
    <w:rsid w:val="00510EB0"/>
    <w:rsid w:val="005119E5"/>
    <w:rsid w:val="0051236D"/>
    <w:rsid w:val="005129B7"/>
    <w:rsid w:val="00512A5A"/>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273AC"/>
    <w:rsid w:val="00530AF7"/>
    <w:rsid w:val="00531CAB"/>
    <w:rsid w:val="005322F5"/>
    <w:rsid w:val="0053438A"/>
    <w:rsid w:val="005346D5"/>
    <w:rsid w:val="00535F8C"/>
    <w:rsid w:val="005365F0"/>
    <w:rsid w:val="00537032"/>
    <w:rsid w:val="005375C5"/>
    <w:rsid w:val="0054020C"/>
    <w:rsid w:val="005421E2"/>
    <w:rsid w:val="0054242F"/>
    <w:rsid w:val="00544005"/>
    <w:rsid w:val="00544B4F"/>
    <w:rsid w:val="00545CEF"/>
    <w:rsid w:val="00547934"/>
    <w:rsid w:val="00547CB7"/>
    <w:rsid w:val="00550785"/>
    <w:rsid w:val="00550B14"/>
    <w:rsid w:val="00551113"/>
    <w:rsid w:val="00552029"/>
    <w:rsid w:val="0055373A"/>
    <w:rsid w:val="00553CB3"/>
    <w:rsid w:val="00553FFA"/>
    <w:rsid w:val="0055528A"/>
    <w:rsid w:val="00555597"/>
    <w:rsid w:val="00555FBC"/>
    <w:rsid w:val="00556001"/>
    <w:rsid w:val="0055642C"/>
    <w:rsid w:val="00556976"/>
    <w:rsid w:val="00556F56"/>
    <w:rsid w:val="0055753B"/>
    <w:rsid w:val="00557883"/>
    <w:rsid w:val="00557F67"/>
    <w:rsid w:val="0056103A"/>
    <w:rsid w:val="005618D0"/>
    <w:rsid w:val="00562931"/>
    <w:rsid w:val="0056327D"/>
    <w:rsid w:val="00564467"/>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5C4F"/>
    <w:rsid w:val="00575D46"/>
    <w:rsid w:val="005772F2"/>
    <w:rsid w:val="00581018"/>
    <w:rsid w:val="0058121D"/>
    <w:rsid w:val="00582009"/>
    <w:rsid w:val="00585001"/>
    <w:rsid w:val="00585189"/>
    <w:rsid w:val="00591DBF"/>
    <w:rsid w:val="00594A6F"/>
    <w:rsid w:val="00597E27"/>
    <w:rsid w:val="00597EB9"/>
    <w:rsid w:val="005A074B"/>
    <w:rsid w:val="005A10DB"/>
    <w:rsid w:val="005A34A9"/>
    <w:rsid w:val="005A3EA1"/>
    <w:rsid w:val="005A4975"/>
    <w:rsid w:val="005A5937"/>
    <w:rsid w:val="005A5986"/>
    <w:rsid w:val="005A5A4B"/>
    <w:rsid w:val="005A663E"/>
    <w:rsid w:val="005A7802"/>
    <w:rsid w:val="005B078B"/>
    <w:rsid w:val="005B1B68"/>
    <w:rsid w:val="005B1EC0"/>
    <w:rsid w:val="005B20E7"/>
    <w:rsid w:val="005B257E"/>
    <w:rsid w:val="005B2636"/>
    <w:rsid w:val="005B2CCC"/>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888"/>
    <w:rsid w:val="005C7E8E"/>
    <w:rsid w:val="005D0B1A"/>
    <w:rsid w:val="005D0B67"/>
    <w:rsid w:val="005D2467"/>
    <w:rsid w:val="005D3160"/>
    <w:rsid w:val="005D53B8"/>
    <w:rsid w:val="005D6167"/>
    <w:rsid w:val="005D6874"/>
    <w:rsid w:val="005D6DB1"/>
    <w:rsid w:val="005E042B"/>
    <w:rsid w:val="005E05B8"/>
    <w:rsid w:val="005E07BD"/>
    <w:rsid w:val="005E44EA"/>
    <w:rsid w:val="005E4D27"/>
    <w:rsid w:val="005E5139"/>
    <w:rsid w:val="005E5A87"/>
    <w:rsid w:val="005E68C4"/>
    <w:rsid w:val="005E6EFF"/>
    <w:rsid w:val="005E6FC9"/>
    <w:rsid w:val="005E71D8"/>
    <w:rsid w:val="005F0539"/>
    <w:rsid w:val="005F104B"/>
    <w:rsid w:val="005F1816"/>
    <w:rsid w:val="005F20FA"/>
    <w:rsid w:val="005F2EBC"/>
    <w:rsid w:val="005F3D0A"/>
    <w:rsid w:val="005F4C4C"/>
    <w:rsid w:val="005F5347"/>
    <w:rsid w:val="005F6416"/>
    <w:rsid w:val="005F7655"/>
    <w:rsid w:val="006003CE"/>
    <w:rsid w:val="00601402"/>
    <w:rsid w:val="006032ED"/>
    <w:rsid w:val="00603CB7"/>
    <w:rsid w:val="00603F30"/>
    <w:rsid w:val="006049AB"/>
    <w:rsid w:val="00605B3C"/>
    <w:rsid w:val="006067FC"/>
    <w:rsid w:val="00607887"/>
    <w:rsid w:val="00610DBD"/>
    <w:rsid w:val="00610FF5"/>
    <w:rsid w:val="00611E7C"/>
    <w:rsid w:val="00613032"/>
    <w:rsid w:val="0061369B"/>
    <w:rsid w:val="00614585"/>
    <w:rsid w:val="006154FF"/>
    <w:rsid w:val="006159B5"/>
    <w:rsid w:val="00616345"/>
    <w:rsid w:val="00616D4C"/>
    <w:rsid w:val="00616D55"/>
    <w:rsid w:val="006171A0"/>
    <w:rsid w:val="006215F0"/>
    <w:rsid w:val="00621645"/>
    <w:rsid w:val="0062349D"/>
    <w:rsid w:val="00623547"/>
    <w:rsid w:val="0062437D"/>
    <w:rsid w:val="0062487C"/>
    <w:rsid w:val="00624893"/>
    <w:rsid w:val="00625502"/>
    <w:rsid w:val="006259CC"/>
    <w:rsid w:val="00627891"/>
    <w:rsid w:val="00627AF6"/>
    <w:rsid w:val="00630852"/>
    <w:rsid w:val="0063271E"/>
    <w:rsid w:val="006342AE"/>
    <w:rsid w:val="006353F5"/>
    <w:rsid w:val="00635639"/>
    <w:rsid w:val="00635CFA"/>
    <w:rsid w:val="006363EE"/>
    <w:rsid w:val="006369FA"/>
    <w:rsid w:val="00637C0C"/>
    <w:rsid w:val="00640AB3"/>
    <w:rsid w:val="006416F3"/>
    <w:rsid w:val="00643F81"/>
    <w:rsid w:val="0064439A"/>
    <w:rsid w:val="0064451A"/>
    <w:rsid w:val="00645860"/>
    <w:rsid w:val="006458BB"/>
    <w:rsid w:val="00646B08"/>
    <w:rsid w:val="00651436"/>
    <w:rsid w:val="00651DEE"/>
    <w:rsid w:val="00652116"/>
    <w:rsid w:val="0065415F"/>
    <w:rsid w:val="00657D0F"/>
    <w:rsid w:val="00657FD2"/>
    <w:rsid w:val="006618B6"/>
    <w:rsid w:val="00661AA0"/>
    <w:rsid w:val="00662037"/>
    <w:rsid w:val="006638BB"/>
    <w:rsid w:val="00664214"/>
    <w:rsid w:val="00664565"/>
    <w:rsid w:val="00665B01"/>
    <w:rsid w:val="0066735C"/>
    <w:rsid w:val="0067068D"/>
    <w:rsid w:val="00672A29"/>
    <w:rsid w:val="00673C2D"/>
    <w:rsid w:val="00673D6F"/>
    <w:rsid w:val="00674772"/>
    <w:rsid w:val="006749BA"/>
    <w:rsid w:val="00676D12"/>
    <w:rsid w:val="00677705"/>
    <w:rsid w:val="00677DCE"/>
    <w:rsid w:val="00680382"/>
    <w:rsid w:val="00680AC7"/>
    <w:rsid w:val="00681B60"/>
    <w:rsid w:val="00682354"/>
    <w:rsid w:val="006825F4"/>
    <w:rsid w:val="006828CD"/>
    <w:rsid w:val="00682BF7"/>
    <w:rsid w:val="006830E1"/>
    <w:rsid w:val="00683C9A"/>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4B4"/>
    <w:rsid w:val="006947E9"/>
    <w:rsid w:val="006949EE"/>
    <w:rsid w:val="00694B24"/>
    <w:rsid w:val="00694CF0"/>
    <w:rsid w:val="00694D89"/>
    <w:rsid w:val="006966BA"/>
    <w:rsid w:val="00696CC5"/>
    <w:rsid w:val="00696E65"/>
    <w:rsid w:val="00697D6F"/>
    <w:rsid w:val="00697F88"/>
    <w:rsid w:val="006A0C8B"/>
    <w:rsid w:val="006A0F1B"/>
    <w:rsid w:val="006A1A12"/>
    <w:rsid w:val="006A2927"/>
    <w:rsid w:val="006A2D22"/>
    <w:rsid w:val="006A44C2"/>
    <w:rsid w:val="006A548D"/>
    <w:rsid w:val="006A683A"/>
    <w:rsid w:val="006A6B26"/>
    <w:rsid w:val="006A7025"/>
    <w:rsid w:val="006A7292"/>
    <w:rsid w:val="006A7F7C"/>
    <w:rsid w:val="006B240F"/>
    <w:rsid w:val="006B3947"/>
    <w:rsid w:val="006B4948"/>
    <w:rsid w:val="006B5502"/>
    <w:rsid w:val="006B571A"/>
    <w:rsid w:val="006B57BF"/>
    <w:rsid w:val="006B686A"/>
    <w:rsid w:val="006B710B"/>
    <w:rsid w:val="006C2065"/>
    <w:rsid w:val="006C2D05"/>
    <w:rsid w:val="006C3235"/>
    <w:rsid w:val="006C3709"/>
    <w:rsid w:val="006C38B0"/>
    <w:rsid w:val="006C4638"/>
    <w:rsid w:val="006C4A24"/>
    <w:rsid w:val="006C68E7"/>
    <w:rsid w:val="006C7465"/>
    <w:rsid w:val="006D01D2"/>
    <w:rsid w:val="006D067B"/>
    <w:rsid w:val="006D16C8"/>
    <w:rsid w:val="006D1783"/>
    <w:rsid w:val="006D28CB"/>
    <w:rsid w:val="006D3477"/>
    <w:rsid w:val="006D366B"/>
    <w:rsid w:val="006D3A09"/>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D9D"/>
    <w:rsid w:val="006F00AD"/>
    <w:rsid w:val="006F1588"/>
    <w:rsid w:val="006F15B5"/>
    <w:rsid w:val="006F21F4"/>
    <w:rsid w:val="006F24EF"/>
    <w:rsid w:val="006F2CD9"/>
    <w:rsid w:val="006F2F18"/>
    <w:rsid w:val="006F3CE5"/>
    <w:rsid w:val="006F57D3"/>
    <w:rsid w:val="006F7888"/>
    <w:rsid w:val="006F7EA0"/>
    <w:rsid w:val="00700441"/>
    <w:rsid w:val="0070068C"/>
    <w:rsid w:val="00700DCB"/>
    <w:rsid w:val="00701D5B"/>
    <w:rsid w:val="00703B66"/>
    <w:rsid w:val="00704172"/>
    <w:rsid w:val="0070485F"/>
    <w:rsid w:val="00704C72"/>
    <w:rsid w:val="007056A0"/>
    <w:rsid w:val="007058C5"/>
    <w:rsid w:val="00705BC9"/>
    <w:rsid w:val="0070628D"/>
    <w:rsid w:val="007071F8"/>
    <w:rsid w:val="00707BAF"/>
    <w:rsid w:val="00710475"/>
    <w:rsid w:val="00710620"/>
    <w:rsid w:val="00712EC4"/>
    <w:rsid w:val="0071313D"/>
    <w:rsid w:val="0071347C"/>
    <w:rsid w:val="00713601"/>
    <w:rsid w:val="00713814"/>
    <w:rsid w:val="00714357"/>
    <w:rsid w:val="00714D6B"/>
    <w:rsid w:val="007159FD"/>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1DBD"/>
    <w:rsid w:val="00732641"/>
    <w:rsid w:val="00732B26"/>
    <w:rsid w:val="00732B66"/>
    <w:rsid w:val="0073342B"/>
    <w:rsid w:val="00733642"/>
    <w:rsid w:val="007364F1"/>
    <w:rsid w:val="007401A2"/>
    <w:rsid w:val="007410B7"/>
    <w:rsid w:val="00741C33"/>
    <w:rsid w:val="0074205C"/>
    <w:rsid w:val="007424A2"/>
    <w:rsid w:val="007428DD"/>
    <w:rsid w:val="00743980"/>
    <w:rsid w:val="007450FD"/>
    <w:rsid w:val="0074639F"/>
    <w:rsid w:val="00746441"/>
    <w:rsid w:val="00747800"/>
    <w:rsid w:val="007503E9"/>
    <w:rsid w:val="007503F8"/>
    <w:rsid w:val="007509B8"/>
    <w:rsid w:val="007513E1"/>
    <w:rsid w:val="00751E20"/>
    <w:rsid w:val="00752627"/>
    <w:rsid w:val="0075370A"/>
    <w:rsid w:val="007542F7"/>
    <w:rsid w:val="00754DE2"/>
    <w:rsid w:val="00755136"/>
    <w:rsid w:val="007560C8"/>
    <w:rsid w:val="00756689"/>
    <w:rsid w:val="007568BD"/>
    <w:rsid w:val="007573D8"/>
    <w:rsid w:val="007574E7"/>
    <w:rsid w:val="00757E0A"/>
    <w:rsid w:val="00760EEB"/>
    <w:rsid w:val="007615E3"/>
    <w:rsid w:val="00761830"/>
    <w:rsid w:val="00761F83"/>
    <w:rsid w:val="00762D99"/>
    <w:rsid w:val="00764094"/>
    <w:rsid w:val="00764164"/>
    <w:rsid w:val="0076443B"/>
    <w:rsid w:val="00766389"/>
    <w:rsid w:val="007679F8"/>
    <w:rsid w:val="00770693"/>
    <w:rsid w:val="007714CB"/>
    <w:rsid w:val="0077261B"/>
    <w:rsid w:val="00772702"/>
    <w:rsid w:val="007728EF"/>
    <w:rsid w:val="00772A59"/>
    <w:rsid w:val="00772BE5"/>
    <w:rsid w:val="00772FA2"/>
    <w:rsid w:val="007731FE"/>
    <w:rsid w:val="00773D84"/>
    <w:rsid w:val="00774419"/>
    <w:rsid w:val="0077677F"/>
    <w:rsid w:val="00776785"/>
    <w:rsid w:val="00780159"/>
    <w:rsid w:val="00780B15"/>
    <w:rsid w:val="00780B24"/>
    <w:rsid w:val="00780C11"/>
    <w:rsid w:val="00780FB4"/>
    <w:rsid w:val="007817FB"/>
    <w:rsid w:val="00781A36"/>
    <w:rsid w:val="00781E05"/>
    <w:rsid w:val="00783293"/>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787"/>
    <w:rsid w:val="00794E1A"/>
    <w:rsid w:val="00795090"/>
    <w:rsid w:val="0079640F"/>
    <w:rsid w:val="00796F69"/>
    <w:rsid w:val="007A09CE"/>
    <w:rsid w:val="007A231C"/>
    <w:rsid w:val="007A2CDF"/>
    <w:rsid w:val="007A35A8"/>
    <w:rsid w:val="007A51E1"/>
    <w:rsid w:val="007A5C8D"/>
    <w:rsid w:val="007A6CF4"/>
    <w:rsid w:val="007A6F37"/>
    <w:rsid w:val="007A74BC"/>
    <w:rsid w:val="007B06FE"/>
    <w:rsid w:val="007B0E42"/>
    <w:rsid w:val="007B1412"/>
    <w:rsid w:val="007B1B3F"/>
    <w:rsid w:val="007B3496"/>
    <w:rsid w:val="007B3BF6"/>
    <w:rsid w:val="007B7255"/>
    <w:rsid w:val="007C0CEE"/>
    <w:rsid w:val="007C2AAC"/>
    <w:rsid w:val="007C3397"/>
    <w:rsid w:val="007C3522"/>
    <w:rsid w:val="007C4D69"/>
    <w:rsid w:val="007C4E44"/>
    <w:rsid w:val="007C53B1"/>
    <w:rsid w:val="007C5C27"/>
    <w:rsid w:val="007C6C91"/>
    <w:rsid w:val="007C6D13"/>
    <w:rsid w:val="007C773C"/>
    <w:rsid w:val="007D07C7"/>
    <w:rsid w:val="007D1E3C"/>
    <w:rsid w:val="007D207A"/>
    <w:rsid w:val="007D2864"/>
    <w:rsid w:val="007D2B0A"/>
    <w:rsid w:val="007D392A"/>
    <w:rsid w:val="007D4DB9"/>
    <w:rsid w:val="007D5268"/>
    <w:rsid w:val="007D5399"/>
    <w:rsid w:val="007D6E98"/>
    <w:rsid w:val="007D754B"/>
    <w:rsid w:val="007E09C5"/>
    <w:rsid w:val="007E2012"/>
    <w:rsid w:val="007E5762"/>
    <w:rsid w:val="007E5CF7"/>
    <w:rsid w:val="007E63B0"/>
    <w:rsid w:val="007F23B4"/>
    <w:rsid w:val="007F2E41"/>
    <w:rsid w:val="007F3CF2"/>
    <w:rsid w:val="007F5C32"/>
    <w:rsid w:val="007F64C5"/>
    <w:rsid w:val="00800346"/>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413"/>
    <w:rsid w:val="008233B3"/>
    <w:rsid w:val="008243D6"/>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1603"/>
    <w:rsid w:val="00844293"/>
    <w:rsid w:val="00844A01"/>
    <w:rsid w:val="008455B0"/>
    <w:rsid w:val="008467D3"/>
    <w:rsid w:val="008474D7"/>
    <w:rsid w:val="008475A9"/>
    <w:rsid w:val="00847DB9"/>
    <w:rsid w:val="00847ECC"/>
    <w:rsid w:val="0085121A"/>
    <w:rsid w:val="00852AD1"/>
    <w:rsid w:val="00852E87"/>
    <w:rsid w:val="00853488"/>
    <w:rsid w:val="008551C0"/>
    <w:rsid w:val="0085544E"/>
    <w:rsid w:val="0085592E"/>
    <w:rsid w:val="00855E97"/>
    <w:rsid w:val="00857C92"/>
    <w:rsid w:val="00860B4E"/>
    <w:rsid w:val="00860CBA"/>
    <w:rsid w:val="008610F9"/>
    <w:rsid w:val="00861331"/>
    <w:rsid w:val="008631DC"/>
    <w:rsid w:val="008637BC"/>
    <w:rsid w:val="008641A8"/>
    <w:rsid w:val="0086455C"/>
    <w:rsid w:val="0086460B"/>
    <w:rsid w:val="0086602F"/>
    <w:rsid w:val="00866591"/>
    <w:rsid w:val="00867667"/>
    <w:rsid w:val="00867929"/>
    <w:rsid w:val="008703A3"/>
    <w:rsid w:val="00870C8F"/>
    <w:rsid w:val="00870CB9"/>
    <w:rsid w:val="0087157E"/>
    <w:rsid w:val="00872429"/>
    <w:rsid w:val="00872D42"/>
    <w:rsid w:val="0087364E"/>
    <w:rsid w:val="008742C8"/>
    <w:rsid w:val="00874377"/>
    <w:rsid w:val="008743F6"/>
    <w:rsid w:val="0087445A"/>
    <w:rsid w:val="008754E7"/>
    <w:rsid w:val="008779C4"/>
    <w:rsid w:val="00877A05"/>
    <w:rsid w:val="00880FE8"/>
    <w:rsid w:val="00881ED0"/>
    <w:rsid w:val="008820BD"/>
    <w:rsid w:val="008821D0"/>
    <w:rsid w:val="00882AE2"/>
    <w:rsid w:val="00883350"/>
    <w:rsid w:val="008841F2"/>
    <w:rsid w:val="00884EA5"/>
    <w:rsid w:val="00885733"/>
    <w:rsid w:val="00885AFA"/>
    <w:rsid w:val="008861BF"/>
    <w:rsid w:val="00887CF6"/>
    <w:rsid w:val="0089016F"/>
    <w:rsid w:val="008901EA"/>
    <w:rsid w:val="00890D09"/>
    <w:rsid w:val="008924D8"/>
    <w:rsid w:val="0089313F"/>
    <w:rsid w:val="00894196"/>
    <w:rsid w:val="008943FB"/>
    <w:rsid w:val="00894987"/>
    <w:rsid w:val="0089595E"/>
    <w:rsid w:val="00895B46"/>
    <w:rsid w:val="008961A8"/>
    <w:rsid w:val="0089622C"/>
    <w:rsid w:val="008964B9"/>
    <w:rsid w:val="00897295"/>
    <w:rsid w:val="008A012D"/>
    <w:rsid w:val="008A0D52"/>
    <w:rsid w:val="008A216A"/>
    <w:rsid w:val="008A2A7A"/>
    <w:rsid w:val="008A2EBE"/>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3DC0"/>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49FA"/>
    <w:rsid w:val="008C5B72"/>
    <w:rsid w:val="008C5F7E"/>
    <w:rsid w:val="008D02B8"/>
    <w:rsid w:val="008D098B"/>
    <w:rsid w:val="008D230A"/>
    <w:rsid w:val="008D4BA7"/>
    <w:rsid w:val="008D52AF"/>
    <w:rsid w:val="008D5493"/>
    <w:rsid w:val="008D610B"/>
    <w:rsid w:val="008D731B"/>
    <w:rsid w:val="008D73AE"/>
    <w:rsid w:val="008D7EAC"/>
    <w:rsid w:val="008E0514"/>
    <w:rsid w:val="008E0FBD"/>
    <w:rsid w:val="008E262A"/>
    <w:rsid w:val="008E3301"/>
    <w:rsid w:val="008E3937"/>
    <w:rsid w:val="008E3F39"/>
    <w:rsid w:val="008E4C85"/>
    <w:rsid w:val="008E528C"/>
    <w:rsid w:val="008E6DEF"/>
    <w:rsid w:val="008F02D0"/>
    <w:rsid w:val="008F084E"/>
    <w:rsid w:val="008F1DE5"/>
    <w:rsid w:val="008F39D9"/>
    <w:rsid w:val="008F51EC"/>
    <w:rsid w:val="008F51FF"/>
    <w:rsid w:val="008F527C"/>
    <w:rsid w:val="008F5757"/>
    <w:rsid w:val="008F62A6"/>
    <w:rsid w:val="008F6ACD"/>
    <w:rsid w:val="00900834"/>
    <w:rsid w:val="0090198E"/>
    <w:rsid w:val="0090227A"/>
    <w:rsid w:val="0090263C"/>
    <w:rsid w:val="00902E38"/>
    <w:rsid w:val="009036BC"/>
    <w:rsid w:val="009036F8"/>
    <w:rsid w:val="00903FD1"/>
    <w:rsid w:val="0090401D"/>
    <w:rsid w:val="00905023"/>
    <w:rsid w:val="0090696E"/>
    <w:rsid w:val="00906E18"/>
    <w:rsid w:val="00907C88"/>
    <w:rsid w:val="00907E7C"/>
    <w:rsid w:val="00910043"/>
    <w:rsid w:val="00910860"/>
    <w:rsid w:val="0091237C"/>
    <w:rsid w:val="00912787"/>
    <w:rsid w:val="0091305B"/>
    <w:rsid w:val="00914026"/>
    <w:rsid w:val="00914FB2"/>
    <w:rsid w:val="00915215"/>
    <w:rsid w:val="0091540C"/>
    <w:rsid w:val="00916E31"/>
    <w:rsid w:val="00920050"/>
    <w:rsid w:val="009201EC"/>
    <w:rsid w:val="00920346"/>
    <w:rsid w:val="009204DD"/>
    <w:rsid w:val="00921CCB"/>
    <w:rsid w:val="009224B6"/>
    <w:rsid w:val="00922A05"/>
    <w:rsid w:val="0092415E"/>
    <w:rsid w:val="00924812"/>
    <w:rsid w:val="0092595C"/>
    <w:rsid w:val="009259B5"/>
    <w:rsid w:val="00926396"/>
    <w:rsid w:val="00926742"/>
    <w:rsid w:val="00927E17"/>
    <w:rsid w:val="00930890"/>
    <w:rsid w:val="00930ED8"/>
    <w:rsid w:val="00931A93"/>
    <w:rsid w:val="009351E4"/>
    <w:rsid w:val="00937576"/>
    <w:rsid w:val="0094072A"/>
    <w:rsid w:val="00941952"/>
    <w:rsid w:val="00941D3C"/>
    <w:rsid w:val="00943F72"/>
    <w:rsid w:val="00944280"/>
    <w:rsid w:val="0094447B"/>
    <w:rsid w:val="00944C7A"/>
    <w:rsid w:val="00945558"/>
    <w:rsid w:val="00946176"/>
    <w:rsid w:val="009469FA"/>
    <w:rsid w:val="00947492"/>
    <w:rsid w:val="00947F57"/>
    <w:rsid w:val="00951BE9"/>
    <w:rsid w:val="009529AE"/>
    <w:rsid w:val="00952D0A"/>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6792D"/>
    <w:rsid w:val="0097029F"/>
    <w:rsid w:val="009706EA"/>
    <w:rsid w:val="00970F65"/>
    <w:rsid w:val="00971ABD"/>
    <w:rsid w:val="00972085"/>
    <w:rsid w:val="00973332"/>
    <w:rsid w:val="0097347E"/>
    <w:rsid w:val="009738D0"/>
    <w:rsid w:val="00974D57"/>
    <w:rsid w:val="00974F24"/>
    <w:rsid w:val="00975D7A"/>
    <w:rsid w:val="00976510"/>
    <w:rsid w:val="0097694D"/>
    <w:rsid w:val="00977179"/>
    <w:rsid w:val="00980B28"/>
    <w:rsid w:val="0098133C"/>
    <w:rsid w:val="00981A3F"/>
    <w:rsid w:val="009829F1"/>
    <w:rsid w:val="00983192"/>
    <w:rsid w:val="00983537"/>
    <w:rsid w:val="00984BFE"/>
    <w:rsid w:val="0098509A"/>
    <w:rsid w:val="00985457"/>
    <w:rsid w:val="00987CB8"/>
    <w:rsid w:val="00987EEB"/>
    <w:rsid w:val="00990214"/>
    <w:rsid w:val="00990EEA"/>
    <w:rsid w:val="00991BCF"/>
    <w:rsid w:val="009923F9"/>
    <w:rsid w:val="00992405"/>
    <w:rsid w:val="00992C0C"/>
    <w:rsid w:val="00992CD3"/>
    <w:rsid w:val="00994072"/>
    <w:rsid w:val="009944B7"/>
    <w:rsid w:val="00994A85"/>
    <w:rsid w:val="00994C62"/>
    <w:rsid w:val="009952E2"/>
    <w:rsid w:val="00996692"/>
    <w:rsid w:val="00997272"/>
    <w:rsid w:val="00997698"/>
    <w:rsid w:val="00997EE0"/>
    <w:rsid w:val="009A0AEB"/>
    <w:rsid w:val="009A111D"/>
    <w:rsid w:val="009A2426"/>
    <w:rsid w:val="009A2504"/>
    <w:rsid w:val="009A2A39"/>
    <w:rsid w:val="009A2CF2"/>
    <w:rsid w:val="009A3069"/>
    <w:rsid w:val="009A3D1E"/>
    <w:rsid w:val="009A4A69"/>
    <w:rsid w:val="009A5967"/>
    <w:rsid w:val="009A686A"/>
    <w:rsid w:val="009A76BB"/>
    <w:rsid w:val="009A7E84"/>
    <w:rsid w:val="009B0BA0"/>
    <w:rsid w:val="009B14E4"/>
    <w:rsid w:val="009B16FB"/>
    <w:rsid w:val="009B1972"/>
    <w:rsid w:val="009B24DF"/>
    <w:rsid w:val="009B3A45"/>
    <w:rsid w:val="009B40D3"/>
    <w:rsid w:val="009B44CA"/>
    <w:rsid w:val="009B53AD"/>
    <w:rsid w:val="009B5A4C"/>
    <w:rsid w:val="009B7E60"/>
    <w:rsid w:val="009C20C4"/>
    <w:rsid w:val="009C3441"/>
    <w:rsid w:val="009C3BBC"/>
    <w:rsid w:val="009C502F"/>
    <w:rsid w:val="009C5B0F"/>
    <w:rsid w:val="009C614E"/>
    <w:rsid w:val="009D1DC9"/>
    <w:rsid w:val="009D4725"/>
    <w:rsid w:val="009D472D"/>
    <w:rsid w:val="009D50A8"/>
    <w:rsid w:val="009D52F8"/>
    <w:rsid w:val="009D6D48"/>
    <w:rsid w:val="009D7C37"/>
    <w:rsid w:val="009E0C07"/>
    <w:rsid w:val="009E1E68"/>
    <w:rsid w:val="009E22A5"/>
    <w:rsid w:val="009E3817"/>
    <w:rsid w:val="009E3969"/>
    <w:rsid w:val="009E443B"/>
    <w:rsid w:val="009E4649"/>
    <w:rsid w:val="009E4C77"/>
    <w:rsid w:val="009E4E8B"/>
    <w:rsid w:val="009E50EF"/>
    <w:rsid w:val="009E6581"/>
    <w:rsid w:val="009E76DA"/>
    <w:rsid w:val="009E78A6"/>
    <w:rsid w:val="009F0384"/>
    <w:rsid w:val="009F041C"/>
    <w:rsid w:val="009F0CCC"/>
    <w:rsid w:val="009F13EA"/>
    <w:rsid w:val="009F1B28"/>
    <w:rsid w:val="009F274C"/>
    <w:rsid w:val="009F3119"/>
    <w:rsid w:val="009F39A2"/>
    <w:rsid w:val="009F3BF5"/>
    <w:rsid w:val="009F5C0A"/>
    <w:rsid w:val="009F72EC"/>
    <w:rsid w:val="00A00FF6"/>
    <w:rsid w:val="00A042D6"/>
    <w:rsid w:val="00A06BC7"/>
    <w:rsid w:val="00A1020D"/>
    <w:rsid w:val="00A106F1"/>
    <w:rsid w:val="00A11286"/>
    <w:rsid w:val="00A12A98"/>
    <w:rsid w:val="00A12C52"/>
    <w:rsid w:val="00A12D80"/>
    <w:rsid w:val="00A130F5"/>
    <w:rsid w:val="00A13812"/>
    <w:rsid w:val="00A1388B"/>
    <w:rsid w:val="00A14C57"/>
    <w:rsid w:val="00A15428"/>
    <w:rsid w:val="00A16090"/>
    <w:rsid w:val="00A1645D"/>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27B3B"/>
    <w:rsid w:val="00A27B9D"/>
    <w:rsid w:val="00A30D9E"/>
    <w:rsid w:val="00A30EED"/>
    <w:rsid w:val="00A31683"/>
    <w:rsid w:val="00A31CA6"/>
    <w:rsid w:val="00A3265B"/>
    <w:rsid w:val="00A347C7"/>
    <w:rsid w:val="00A34F97"/>
    <w:rsid w:val="00A35148"/>
    <w:rsid w:val="00A3557F"/>
    <w:rsid w:val="00A35E1D"/>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DDD"/>
    <w:rsid w:val="00A60125"/>
    <w:rsid w:val="00A60A91"/>
    <w:rsid w:val="00A61F62"/>
    <w:rsid w:val="00A62A0D"/>
    <w:rsid w:val="00A63793"/>
    <w:rsid w:val="00A63B9F"/>
    <w:rsid w:val="00A646A9"/>
    <w:rsid w:val="00A64B88"/>
    <w:rsid w:val="00A64E55"/>
    <w:rsid w:val="00A65047"/>
    <w:rsid w:val="00A65430"/>
    <w:rsid w:val="00A65BAA"/>
    <w:rsid w:val="00A66C12"/>
    <w:rsid w:val="00A66EEF"/>
    <w:rsid w:val="00A67AE9"/>
    <w:rsid w:val="00A7011D"/>
    <w:rsid w:val="00A703EF"/>
    <w:rsid w:val="00A706D3"/>
    <w:rsid w:val="00A70C03"/>
    <w:rsid w:val="00A70E69"/>
    <w:rsid w:val="00A70EE3"/>
    <w:rsid w:val="00A70FF1"/>
    <w:rsid w:val="00A710C3"/>
    <w:rsid w:val="00A71203"/>
    <w:rsid w:val="00A7176E"/>
    <w:rsid w:val="00A71C58"/>
    <w:rsid w:val="00A73ABD"/>
    <w:rsid w:val="00A73D9A"/>
    <w:rsid w:val="00A74458"/>
    <w:rsid w:val="00A74750"/>
    <w:rsid w:val="00A748F7"/>
    <w:rsid w:val="00A7576F"/>
    <w:rsid w:val="00A7603E"/>
    <w:rsid w:val="00A76EE2"/>
    <w:rsid w:val="00A77BA7"/>
    <w:rsid w:val="00A77C24"/>
    <w:rsid w:val="00A80037"/>
    <w:rsid w:val="00A805C7"/>
    <w:rsid w:val="00A8112E"/>
    <w:rsid w:val="00A81815"/>
    <w:rsid w:val="00A818CC"/>
    <w:rsid w:val="00A81C89"/>
    <w:rsid w:val="00A8276B"/>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4976"/>
    <w:rsid w:val="00A95195"/>
    <w:rsid w:val="00A95D2D"/>
    <w:rsid w:val="00AA0F69"/>
    <w:rsid w:val="00AA1732"/>
    <w:rsid w:val="00AA1BD2"/>
    <w:rsid w:val="00AA2ADC"/>
    <w:rsid w:val="00AA39E2"/>
    <w:rsid w:val="00AA49C0"/>
    <w:rsid w:val="00AA5E63"/>
    <w:rsid w:val="00AA6BA9"/>
    <w:rsid w:val="00AA7468"/>
    <w:rsid w:val="00AB065D"/>
    <w:rsid w:val="00AB0D38"/>
    <w:rsid w:val="00AB11E4"/>
    <w:rsid w:val="00AB2209"/>
    <w:rsid w:val="00AB3CB6"/>
    <w:rsid w:val="00AB3E2F"/>
    <w:rsid w:val="00AB47C4"/>
    <w:rsid w:val="00AB4885"/>
    <w:rsid w:val="00AB4BCD"/>
    <w:rsid w:val="00AB4D72"/>
    <w:rsid w:val="00AB4F21"/>
    <w:rsid w:val="00AB5593"/>
    <w:rsid w:val="00AB5CBE"/>
    <w:rsid w:val="00AB68DE"/>
    <w:rsid w:val="00AB7380"/>
    <w:rsid w:val="00AB78D4"/>
    <w:rsid w:val="00AC1958"/>
    <w:rsid w:val="00AC1C93"/>
    <w:rsid w:val="00AC290E"/>
    <w:rsid w:val="00AC30C0"/>
    <w:rsid w:val="00AC396F"/>
    <w:rsid w:val="00AC39AE"/>
    <w:rsid w:val="00AC4395"/>
    <w:rsid w:val="00AC4B48"/>
    <w:rsid w:val="00AC6266"/>
    <w:rsid w:val="00AC65C2"/>
    <w:rsid w:val="00AC7B36"/>
    <w:rsid w:val="00AD073B"/>
    <w:rsid w:val="00AD0EA5"/>
    <w:rsid w:val="00AD1A4F"/>
    <w:rsid w:val="00AD374D"/>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6BFD"/>
    <w:rsid w:val="00AE760A"/>
    <w:rsid w:val="00AE783B"/>
    <w:rsid w:val="00AE7FE6"/>
    <w:rsid w:val="00AF0363"/>
    <w:rsid w:val="00AF0980"/>
    <w:rsid w:val="00AF0C23"/>
    <w:rsid w:val="00AF1745"/>
    <w:rsid w:val="00AF2820"/>
    <w:rsid w:val="00AF28C0"/>
    <w:rsid w:val="00AF2B39"/>
    <w:rsid w:val="00AF2FEE"/>
    <w:rsid w:val="00AF3E16"/>
    <w:rsid w:val="00AF4128"/>
    <w:rsid w:val="00AF4285"/>
    <w:rsid w:val="00AF5588"/>
    <w:rsid w:val="00AF57EC"/>
    <w:rsid w:val="00AF5A29"/>
    <w:rsid w:val="00AF6102"/>
    <w:rsid w:val="00AF714D"/>
    <w:rsid w:val="00AF7407"/>
    <w:rsid w:val="00B0000E"/>
    <w:rsid w:val="00B0018D"/>
    <w:rsid w:val="00B00B69"/>
    <w:rsid w:val="00B00F33"/>
    <w:rsid w:val="00B01FDA"/>
    <w:rsid w:val="00B03406"/>
    <w:rsid w:val="00B0386B"/>
    <w:rsid w:val="00B04419"/>
    <w:rsid w:val="00B05533"/>
    <w:rsid w:val="00B057B9"/>
    <w:rsid w:val="00B06981"/>
    <w:rsid w:val="00B0781F"/>
    <w:rsid w:val="00B07BCF"/>
    <w:rsid w:val="00B11CD4"/>
    <w:rsid w:val="00B11D55"/>
    <w:rsid w:val="00B12130"/>
    <w:rsid w:val="00B122F0"/>
    <w:rsid w:val="00B12BB0"/>
    <w:rsid w:val="00B12E8A"/>
    <w:rsid w:val="00B13465"/>
    <w:rsid w:val="00B13A7B"/>
    <w:rsid w:val="00B14196"/>
    <w:rsid w:val="00B144CB"/>
    <w:rsid w:val="00B14735"/>
    <w:rsid w:val="00B16461"/>
    <w:rsid w:val="00B16D35"/>
    <w:rsid w:val="00B176CF"/>
    <w:rsid w:val="00B20159"/>
    <w:rsid w:val="00B20CA6"/>
    <w:rsid w:val="00B22919"/>
    <w:rsid w:val="00B22B6B"/>
    <w:rsid w:val="00B2337B"/>
    <w:rsid w:val="00B24D8F"/>
    <w:rsid w:val="00B25753"/>
    <w:rsid w:val="00B30319"/>
    <w:rsid w:val="00B30EAC"/>
    <w:rsid w:val="00B3132D"/>
    <w:rsid w:val="00B320A1"/>
    <w:rsid w:val="00B33475"/>
    <w:rsid w:val="00B335C3"/>
    <w:rsid w:val="00B34AC5"/>
    <w:rsid w:val="00B34B02"/>
    <w:rsid w:val="00B360FC"/>
    <w:rsid w:val="00B36FC6"/>
    <w:rsid w:val="00B37352"/>
    <w:rsid w:val="00B3753E"/>
    <w:rsid w:val="00B406EF"/>
    <w:rsid w:val="00B41B07"/>
    <w:rsid w:val="00B4277E"/>
    <w:rsid w:val="00B42FDC"/>
    <w:rsid w:val="00B4306D"/>
    <w:rsid w:val="00B43CC6"/>
    <w:rsid w:val="00B443EF"/>
    <w:rsid w:val="00B449A2"/>
    <w:rsid w:val="00B44A2A"/>
    <w:rsid w:val="00B4577F"/>
    <w:rsid w:val="00B45787"/>
    <w:rsid w:val="00B47891"/>
    <w:rsid w:val="00B50D10"/>
    <w:rsid w:val="00B50FAD"/>
    <w:rsid w:val="00B52519"/>
    <w:rsid w:val="00B531F9"/>
    <w:rsid w:val="00B53309"/>
    <w:rsid w:val="00B544A1"/>
    <w:rsid w:val="00B54694"/>
    <w:rsid w:val="00B5770A"/>
    <w:rsid w:val="00B6017C"/>
    <w:rsid w:val="00B60182"/>
    <w:rsid w:val="00B60744"/>
    <w:rsid w:val="00B60999"/>
    <w:rsid w:val="00B6102F"/>
    <w:rsid w:val="00B627F3"/>
    <w:rsid w:val="00B6288F"/>
    <w:rsid w:val="00B62EAD"/>
    <w:rsid w:val="00B634B6"/>
    <w:rsid w:val="00B6372F"/>
    <w:rsid w:val="00B640AD"/>
    <w:rsid w:val="00B640DF"/>
    <w:rsid w:val="00B647D5"/>
    <w:rsid w:val="00B65BDE"/>
    <w:rsid w:val="00B66647"/>
    <w:rsid w:val="00B675B3"/>
    <w:rsid w:val="00B6798E"/>
    <w:rsid w:val="00B67AFE"/>
    <w:rsid w:val="00B70665"/>
    <w:rsid w:val="00B7254D"/>
    <w:rsid w:val="00B725F3"/>
    <w:rsid w:val="00B76E61"/>
    <w:rsid w:val="00B771B7"/>
    <w:rsid w:val="00B771E3"/>
    <w:rsid w:val="00B77291"/>
    <w:rsid w:val="00B7766B"/>
    <w:rsid w:val="00B8039F"/>
    <w:rsid w:val="00B811DC"/>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4FDF"/>
    <w:rsid w:val="00BA558B"/>
    <w:rsid w:val="00BA5CBE"/>
    <w:rsid w:val="00BA62F4"/>
    <w:rsid w:val="00BA6CF4"/>
    <w:rsid w:val="00BA7EC1"/>
    <w:rsid w:val="00BB3755"/>
    <w:rsid w:val="00BB4462"/>
    <w:rsid w:val="00BB44AF"/>
    <w:rsid w:val="00BB54B2"/>
    <w:rsid w:val="00BB72A1"/>
    <w:rsid w:val="00BB7701"/>
    <w:rsid w:val="00BB7C82"/>
    <w:rsid w:val="00BC0366"/>
    <w:rsid w:val="00BC0929"/>
    <w:rsid w:val="00BC16E6"/>
    <w:rsid w:val="00BC1B0C"/>
    <w:rsid w:val="00BC2C73"/>
    <w:rsid w:val="00BC30C4"/>
    <w:rsid w:val="00BC5393"/>
    <w:rsid w:val="00BC540A"/>
    <w:rsid w:val="00BC63A5"/>
    <w:rsid w:val="00BC7E19"/>
    <w:rsid w:val="00BD2D6D"/>
    <w:rsid w:val="00BD32DC"/>
    <w:rsid w:val="00BD44EB"/>
    <w:rsid w:val="00BD53B2"/>
    <w:rsid w:val="00BD6F1C"/>
    <w:rsid w:val="00BD70A1"/>
    <w:rsid w:val="00BD7A6D"/>
    <w:rsid w:val="00BE3120"/>
    <w:rsid w:val="00BE37C3"/>
    <w:rsid w:val="00BE3B20"/>
    <w:rsid w:val="00BE43ED"/>
    <w:rsid w:val="00BE5150"/>
    <w:rsid w:val="00BE579B"/>
    <w:rsid w:val="00BE59F3"/>
    <w:rsid w:val="00BE5D95"/>
    <w:rsid w:val="00BE6D06"/>
    <w:rsid w:val="00BE73F4"/>
    <w:rsid w:val="00BF099A"/>
    <w:rsid w:val="00BF33DF"/>
    <w:rsid w:val="00BF4816"/>
    <w:rsid w:val="00BF4D46"/>
    <w:rsid w:val="00BF756C"/>
    <w:rsid w:val="00BF7FC3"/>
    <w:rsid w:val="00C00792"/>
    <w:rsid w:val="00C010AD"/>
    <w:rsid w:val="00C02058"/>
    <w:rsid w:val="00C02590"/>
    <w:rsid w:val="00C03B69"/>
    <w:rsid w:val="00C04E5C"/>
    <w:rsid w:val="00C067F6"/>
    <w:rsid w:val="00C068BF"/>
    <w:rsid w:val="00C072F3"/>
    <w:rsid w:val="00C106AC"/>
    <w:rsid w:val="00C1072D"/>
    <w:rsid w:val="00C11655"/>
    <w:rsid w:val="00C12E6D"/>
    <w:rsid w:val="00C12F08"/>
    <w:rsid w:val="00C13DC1"/>
    <w:rsid w:val="00C13E97"/>
    <w:rsid w:val="00C149BA"/>
    <w:rsid w:val="00C16E0B"/>
    <w:rsid w:val="00C170F9"/>
    <w:rsid w:val="00C175AE"/>
    <w:rsid w:val="00C1772C"/>
    <w:rsid w:val="00C17DFB"/>
    <w:rsid w:val="00C17E76"/>
    <w:rsid w:val="00C20628"/>
    <w:rsid w:val="00C209F8"/>
    <w:rsid w:val="00C21473"/>
    <w:rsid w:val="00C23604"/>
    <w:rsid w:val="00C24735"/>
    <w:rsid w:val="00C2556E"/>
    <w:rsid w:val="00C25BEB"/>
    <w:rsid w:val="00C26259"/>
    <w:rsid w:val="00C27DBF"/>
    <w:rsid w:val="00C27E55"/>
    <w:rsid w:val="00C27E66"/>
    <w:rsid w:val="00C303E7"/>
    <w:rsid w:val="00C31417"/>
    <w:rsid w:val="00C31420"/>
    <w:rsid w:val="00C31C35"/>
    <w:rsid w:val="00C322C3"/>
    <w:rsid w:val="00C3295F"/>
    <w:rsid w:val="00C3313E"/>
    <w:rsid w:val="00C331D8"/>
    <w:rsid w:val="00C331EC"/>
    <w:rsid w:val="00C33BE3"/>
    <w:rsid w:val="00C34CBB"/>
    <w:rsid w:val="00C35C0E"/>
    <w:rsid w:val="00C36B79"/>
    <w:rsid w:val="00C3718D"/>
    <w:rsid w:val="00C37B9E"/>
    <w:rsid w:val="00C402CA"/>
    <w:rsid w:val="00C41BB0"/>
    <w:rsid w:val="00C41FF3"/>
    <w:rsid w:val="00C4340C"/>
    <w:rsid w:val="00C43932"/>
    <w:rsid w:val="00C43AC6"/>
    <w:rsid w:val="00C43C0B"/>
    <w:rsid w:val="00C449E4"/>
    <w:rsid w:val="00C453F4"/>
    <w:rsid w:val="00C45F5A"/>
    <w:rsid w:val="00C46385"/>
    <w:rsid w:val="00C464BA"/>
    <w:rsid w:val="00C471B7"/>
    <w:rsid w:val="00C47256"/>
    <w:rsid w:val="00C510BF"/>
    <w:rsid w:val="00C51BBB"/>
    <w:rsid w:val="00C51EC4"/>
    <w:rsid w:val="00C5276F"/>
    <w:rsid w:val="00C52E70"/>
    <w:rsid w:val="00C53073"/>
    <w:rsid w:val="00C5466B"/>
    <w:rsid w:val="00C549B7"/>
    <w:rsid w:val="00C55964"/>
    <w:rsid w:val="00C55CF1"/>
    <w:rsid w:val="00C61305"/>
    <w:rsid w:val="00C613EA"/>
    <w:rsid w:val="00C62008"/>
    <w:rsid w:val="00C621DD"/>
    <w:rsid w:val="00C62708"/>
    <w:rsid w:val="00C62E6B"/>
    <w:rsid w:val="00C645AA"/>
    <w:rsid w:val="00C64E8D"/>
    <w:rsid w:val="00C65CD7"/>
    <w:rsid w:val="00C670F5"/>
    <w:rsid w:val="00C67833"/>
    <w:rsid w:val="00C703F5"/>
    <w:rsid w:val="00C71917"/>
    <w:rsid w:val="00C7233D"/>
    <w:rsid w:val="00C72617"/>
    <w:rsid w:val="00C72D41"/>
    <w:rsid w:val="00C7325B"/>
    <w:rsid w:val="00C73FE9"/>
    <w:rsid w:val="00C76C5F"/>
    <w:rsid w:val="00C81BCC"/>
    <w:rsid w:val="00C82053"/>
    <w:rsid w:val="00C825DA"/>
    <w:rsid w:val="00C82BC6"/>
    <w:rsid w:val="00C82E7B"/>
    <w:rsid w:val="00C82F57"/>
    <w:rsid w:val="00C8331C"/>
    <w:rsid w:val="00C84641"/>
    <w:rsid w:val="00C84D2C"/>
    <w:rsid w:val="00C84F8B"/>
    <w:rsid w:val="00C85095"/>
    <w:rsid w:val="00C85E8D"/>
    <w:rsid w:val="00C85FB0"/>
    <w:rsid w:val="00C86A70"/>
    <w:rsid w:val="00C86CF4"/>
    <w:rsid w:val="00C87402"/>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64D5"/>
    <w:rsid w:val="00CB785C"/>
    <w:rsid w:val="00CB7A58"/>
    <w:rsid w:val="00CC07EB"/>
    <w:rsid w:val="00CC1515"/>
    <w:rsid w:val="00CC2ECF"/>
    <w:rsid w:val="00CC3261"/>
    <w:rsid w:val="00CC4DBA"/>
    <w:rsid w:val="00CC5082"/>
    <w:rsid w:val="00CC50EA"/>
    <w:rsid w:val="00CC5DF8"/>
    <w:rsid w:val="00CC604B"/>
    <w:rsid w:val="00CC6A54"/>
    <w:rsid w:val="00CC6B81"/>
    <w:rsid w:val="00CC730B"/>
    <w:rsid w:val="00CD0333"/>
    <w:rsid w:val="00CD0E90"/>
    <w:rsid w:val="00CD0EF4"/>
    <w:rsid w:val="00CD1917"/>
    <w:rsid w:val="00CD26CE"/>
    <w:rsid w:val="00CD2AAF"/>
    <w:rsid w:val="00CD2DF9"/>
    <w:rsid w:val="00CD3989"/>
    <w:rsid w:val="00CD39F3"/>
    <w:rsid w:val="00CD3F87"/>
    <w:rsid w:val="00CD4CE1"/>
    <w:rsid w:val="00CD515A"/>
    <w:rsid w:val="00CD6209"/>
    <w:rsid w:val="00CD6370"/>
    <w:rsid w:val="00CD6DBA"/>
    <w:rsid w:val="00CE037F"/>
    <w:rsid w:val="00CE08FD"/>
    <w:rsid w:val="00CE14ED"/>
    <w:rsid w:val="00CE2F13"/>
    <w:rsid w:val="00CE3F8A"/>
    <w:rsid w:val="00CE5747"/>
    <w:rsid w:val="00CE578D"/>
    <w:rsid w:val="00CF08EE"/>
    <w:rsid w:val="00CF33AA"/>
    <w:rsid w:val="00CF381E"/>
    <w:rsid w:val="00CF39B5"/>
    <w:rsid w:val="00CF429D"/>
    <w:rsid w:val="00CF51AA"/>
    <w:rsid w:val="00CF579B"/>
    <w:rsid w:val="00CF65E9"/>
    <w:rsid w:val="00CF76FD"/>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47B0"/>
    <w:rsid w:val="00D260D4"/>
    <w:rsid w:val="00D30C97"/>
    <w:rsid w:val="00D32C28"/>
    <w:rsid w:val="00D34AD5"/>
    <w:rsid w:val="00D3591F"/>
    <w:rsid w:val="00D36919"/>
    <w:rsid w:val="00D37527"/>
    <w:rsid w:val="00D458A3"/>
    <w:rsid w:val="00D466E0"/>
    <w:rsid w:val="00D47A15"/>
    <w:rsid w:val="00D47CA5"/>
    <w:rsid w:val="00D47CE2"/>
    <w:rsid w:val="00D47D00"/>
    <w:rsid w:val="00D50637"/>
    <w:rsid w:val="00D51185"/>
    <w:rsid w:val="00D5164C"/>
    <w:rsid w:val="00D51DE4"/>
    <w:rsid w:val="00D5296D"/>
    <w:rsid w:val="00D546B6"/>
    <w:rsid w:val="00D54710"/>
    <w:rsid w:val="00D549B7"/>
    <w:rsid w:val="00D54B6D"/>
    <w:rsid w:val="00D55542"/>
    <w:rsid w:val="00D55743"/>
    <w:rsid w:val="00D56957"/>
    <w:rsid w:val="00D570CF"/>
    <w:rsid w:val="00D57B56"/>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740"/>
    <w:rsid w:val="00D741CE"/>
    <w:rsid w:val="00D743E7"/>
    <w:rsid w:val="00D745B9"/>
    <w:rsid w:val="00D74702"/>
    <w:rsid w:val="00D74CF4"/>
    <w:rsid w:val="00D761D2"/>
    <w:rsid w:val="00D764BF"/>
    <w:rsid w:val="00D77EB3"/>
    <w:rsid w:val="00D804CC"/>
    <w:rsid w:val="00D807EA"/>
    <w:rsid w:val="00D82704"/>
    <w:rsid w:val="00D82CD9"/>
    <w:rsid w:val="00D82F74"/>
    <w:rsid w:val="00D85AAD"/>
    <w:rsid w:val="00D86CD3"/>
    <w:rsid w:val="00D8749C"/>
    <w:rsid w:val="00D87587"/>
    <w:rsid w:val="00D90121"/>
    <w:rsid w:val="00D90B2F"/>
    <w:rsid w:val="00D90D72"/>
    <w:rsid w:val="00D9254A"/>
    <w:rsid w:val="00D925FA"/>
    <w:rsid w:val="00D928E2"/>
    <w:rsid w:val="00D935F8"/>
    <w:rsid w:val="00D93BBB"/>
    <w:rsid w:val="00D948E5"/>
    <w:rsid w:val="00D94953"/>
    <w:rsid w:val="00D9518D"/>
    <w:rsid w:val="00D9573F"/>
    <w:rsid w:val="00D95C1D"/>
    <w:rsid w:val="00D961B5"/>
    <w:rsid w:val="00D961E2"/>
    <w:rsid w:val="00D9628D"/>
    <w:rsid w:val="00D966A6"/>
    <w:rsid w:val="00D97162"/>
    <w:rsid w:val="00D974C5"/>
    <w:rsid w:val="00D978CB"/>
    <w:rsid w:val="00DA325A"/>
    <w:rsid w:val="00DA3595"/>
    <w:rsid w:val="00DA35A6"/>
    <w:rsid w:val="00DA3961"/>
    <w:rsid w:val="00DA405A"/>
    <w:rsid w:val="00DA6D1F"/>
    <w:rsid w:val="00DA6EE0"/>
    <w:rsid w:val="00DB0F97"/>
    <w:rsid w:val="00DB2605"/>
    <w:rsid w:val="00DB29FB"/>
    <w:rsid w:val="00DB2DD0"/>
    <w:rsid w:val="00DB3595"/>
    <w:rsid w:val="00DB46C6"/>
    <w:rsid w:val="00DB4A1B"/>
    <w:rsid w:val="00DB4B7F"/>
    <w:rsid w:val="00DB4D55"/>
    <w:rsid w:val="00DB667F"/>
    <w:rsid w:val="00DB736F"/>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C49"/>
    <w:rsid w:val="00DD0F79"/>
    <w:rsid w:val="00DD1713"/>
    <w:rsid w:val="00DD26F2"/>
    <w:rsid w:val="00DD47BC"/>
    <w:rsid w:val="00DD57C1"/>
    <w:rsid w:val="00DD5A08"/>
    <w:rsid w:val="00DD6D54"/>
    <w:rsid w:val="00DD7D17"/>
    <w:rsid w:val="00DE0B03"/>
    <w:rsid w:val="00DE165F"/>
    <w:rsid w:val="00DE3AAD"/>
    <w:rsid w:val="00DE3B5D"/>
    <w:rsid w:val="00DE3F61"/>
    <w:rsid w:val="00DE42E9"/>
    <w:rsid w:val="00DE4C23"/>
    <w:rsid w:val="00DE502E"/>
    <w:rsid w:val="00DE5E1F"/>
    <w:rsid w:val="00DE6779"/>
    <w:rsid w:val="00DE7CA8"/>
    <w:rsid w:val="00DE7D53"/>
    <w:rsid w:val="00DF101C"/>
    <w:rsid w:val="00DF1642"/>
    <w:rsid w:val="00DF298B"/>
    <w:rsid w:val="00DF2B35"/>
    <w:rsid w:val="00DF2B36"/>
    <w:rsid w:val="00DF3A55"/>
    <w:rsid w:val="00DF42BC"/>
    <w:rsid w:val="00DF52B7"/>
    <w:rsid w:val="00E0010E"/>
    <w:rsid w:val="00E005A2"/>
    <w:rsid w:val="00E02B9B"/>
    <w:rsid w:val="00E02D64"/>
    <w:rsid w:val="00E033A0"/>
    <w:rsid w:val="00E03568"/>
    <w:rsid w:val="00E03CF3"/>
    <w:rsid w:val="00E04172"/>
    <w:rsid w:val="00E04E74"/>
    <w:rsid w:val="00E069E3"/>
    <w:rsid w:val="00E06D70"/>
    <w:rsid w:val="00E077E2"/>
    <w:rsid w:val="00E11769"/>
    <w:rsid w:val="00E12145"/>
    <w:rsid w:val="00E121B1"/>
    <w:rsid w:val="00E14075"/>
    <w:rsid w:val="00E1459E"/>
    <w:rsid w:val="00E157AE"/>
    <w:rsid w:val="00E160C1"/>
    <w:rsid w:val="00E16986"/>
    <w:rsid w:val="00E16B7D"/>
    <w:rsid w:val="00E16BAD"/>
    <w:rsid w:val="00E1713D"/>
    <w:rsid w:val="00E20864"/>
    <w:rsid w:val="00E20E80"/>
    <w:rsid w:val="00E2127E"/>
    <w:rsid w:val="00E21682"/>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3C1C"/>
    <w:rsid w:val="00E33FBC"/>
    <w:rsid w:val="00E342C9"/>
    <w:rsid w:val="00E34C07"/>
    <w:rsid w:val="00E3575E"/>
    <w:rsid w:val="00E35A36"/>
    <w:rsid w:val="00E35B2C"/>
    <w:rsid w:val="00E37048"/>
    <w:rsid w:val="00E40580"/>
    <w:rsid w:val="00E40A42"/>
    <w:rsid w:val="00E40E02"/>
    <w:rsid w:val="00E43947"/>
    <w:rsid w:val="00E453A2"/>
    <w:rsid w:val="00E45D06"/>
    <w:rsid w:val="00E474C5"/>
    <w:rsid w:val="00E47B70"/>
    <w:rsid w:val="00E5068E"/>
    <w:rsid w:val="00E50F80"/>
    <w:rsid w:val="00E51A6F"/>
    <w:rsid w:val="00E524C6"/>
    <w:rsid w:val="00E53CFD"/>
    <w:rsid w:val="00E545BD"/>
    <w:rsid w:val="00E547D6"/>
    <w:rsid w:val="00E54890"/>
    <w:rsid w:val="00E5508F"/>
    <w:rsid w:val="00E56416"/>
    <w:rsid w:val="00E57557"/>
    <w:rsid w:val="00E60582"/>
    <w:rsid w:val="00E6092E"/>
    <w:rsid w:val="00E6248F"/>
    <w:rsid w:val="00E63543"/>
    <w:rsid w:val="00E654B1"/>
    <w:rsid w:val="00E65BC4"/>
    <w:rsid w:val="00E65D04"/>
    <w:rsid w:val="00E6694A"/>
    <w:rsid w:val="00E66F5D"/>
    <w:rsid w:val="00E7111C"/>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6D72"/>
    <w:rsid w:val="00E87042"/>
    <w:rsid w:val="00E873B9"/>
    <w:rsid w:val="00E9024E"/>
    <w:rsid w:val="00E90368"/>
    <w:rsid w:val="00E93459"/>
    <w:rsid w:val="00E9357C"/>
    <w:rsid w:val="00E93DF8"/>
    <w:rsid w:val="00E9500F"/>
    <w:rsid w:val="00E95A08"/>
    <w:rsid w:val="00E95D86"/>
    <w:rsid w:val="00E9668D"/>
    <w:rsid w:val="00E96981"/>
    <w:rsid w:val="00EA2438"/>
    <w:rsid w:val="00EA24A6"/>
    <w:rsid w:val="00EA2A3B"/>
    <w:rsid w:val="00EA2EFD"/>
    <w:rsid w:val="00EA4743"/>
    <w:rsid w:val="00EA49A8"/>
    <w:rsid w:val="00EA56C4"/>
    <w:rsid w:val="00EA6316"/>
    <w:rsid w:val="00EA6662"/>
    <w:rsid w:val="00EA6C83"/>
    <w:rsid w:val="00EA6F6B"/>
    <w:rsid w:val="00EA72DA"/>
    <w:rsid w:val="00EA77D9"/>
    <w:rsid w:val="00EA78FF"/>
    <w:rsid w:val="00EB06D7"/>
    <w:rsid w:val="00EB39B9"/>
    <w:rsid w:val="00EB4082"/>
    <w:rsid w:val="00EB47E9"/>
    <w:rsid w:val="00EB4925"/>
    <w:rsid w:val="00EB5967"/>
    <w:rsid w:val="00EB59E4"/>
    <w:rsid w:val="00EB61B4"/>
    <w:rsid w:val="00EB6627"/>
    <w:rsid w:val="00EB6984"/>
    <w:rsid w:val="00EB6DC6"/>
    <w:rsid w:val="00EB7316"/>
    <w:rsid w:val="00EB7A0A"/>
    <w:rsid w:val="00EC040A"/>
    <w:rsid w:val="00EC0926"/>
    <w:rsid w:val="00EC0A98"/>
    <w:rsid w:val="00EC0DB3"/>
    <w:rsid w:val="00EC2756"/>
    <w:rsid w:val="00EC2780"/>
    <w:rsid w:val="00EC2853"/>
    <w:rsid w:val="00EC28B4"/>
    <w:rsid w:val="00EC2C80"/>
    <w:rsid w:val="00EC3D90"/>
    <w:rsid w:val="00EC3FD8"/>
    <w:rsid w:val="00EC4468"/>
    <w:rsid w:val="00EC5667"/>
    <w:rsid w:val="00EC5C0F"/>
    <w:rsid w:val="00EC609D"/>
    <w:rsid w:val="00EC6D5B"/>
    <w:rsid w:val="00EC7920"/>
    <w:rsid w:val="00ED0EF6"/>
    <w:rsid w:val="00ED1F6D"/>
    <w:rsid w:val="00ED3962"/>
    <w:rsid w:val="00ED3F46"/>
    <w:rsid w:val="00ED4398"/>
    <w:rsid w:val="00ED474F"/>
    <w:rsid w:val="00ED5431"/>
    <w:rsid w:val="00ED68C4"/>
    <w:rsid w:val="00ED7911"/>
    <w:rsid w:val="00ED7A5C"/>
    <w:rsid w:val="00EE0A22"/>
    <w:rsid w:val="00EE3051"/>
    <w:rsid w:val="00EE40CF"/>
    <w:rsid w:val="00EE4C05"/>
    <w:rsid w:val="00EE5486"/>
    <w:rsid w:val="00EE6A8C"/>
    <w:rsid w:val="00EE77AF"/>
    <w:rsid w:val="00EF098A"/>
    <w:rsid w:val="00EF19C9"/>
    <w:rsid w:val="00EF22D3"/>
    <w:rsid w:val="00EF48D1"/>
    <w:rsid w:val="00EF4B91"/>
    <w:rsid w:val="00EF4D6F"/>
    <w:rsid w:val="00EF555D"/>
    <w:rsid w:val="00EF59AB"/>
    <w:rsid w:val="00EF5CD5"/>
    <w:rsid w:val="00F000B0"/>
    <w:rsid w:val="00F01674"/>
    <w:rsid w:val="00F02CB2"/>
    <w:rsid w:val="00F02EF1"/>
    <w:rsid w:val="00F066DF"/>
    <w:rsid w:val="00F06EB0"/>
    <w:rsid w:val="00F07301"/>
    <w:rsid w:val="00F07335"/>
    <w:rsid w:val="00F0734F"/>
    <w:rsid w:val="00F07664"/>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256C"/>
    <w:rsid w:val="00F22E87"/>
    <w:rsid w:val="00F23227"/>
    <w:rsid w:val="00F258CC"/>
    <w:rsid w:val="00F25E5B"/>
    <w:rsid w:val="00F26BFC"/>
    <w:rsid w:val="00F26FD6"/>
    <w:rsid w:val="00F27A21"/>
    <w:rsid w:val="00F30E11"/>
    <w:rsid w:val="00F31460"/>
    <w:rsid w:val="00F31DB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50F57"/>
    <w:rsid w:val="00F51BE9"/>
    <w:rsid w:val="00F52104"/>
    <w:rsid w:val="00F532AE"/>
    <w:rsid w:val="00F5334F"/>
    <w:rsid w:val="00F54B78"/>
    <w:rsid w:val="00F55E85"/>
    <w:rsid w:val="00F5702C"/>
    <w:rsid w:val="00F572CF"/>
    <w:rsid w:val="00F603CF"/>
    <w:rsid w:val="00F6078E"/>
    <w:rsid w:val="00F61805"/>
    <w:rsid w:val="00F61C42"/>
    <w:rsid w:val="00F62462"/>
    <w:rsid w:val="00F64E4D"/>
    <w:rsid w:val="00F65054"/>
    <w:rsid w:val="00F655B0"/>
    <w:rsid w:val="00F65628"/>
    <w:rsid w:val="00F700C1"/>
    <w:rsid w:val="00F71498"/>
    <w:rsid w:val="00F72F9E"/>
    <w:rsid w:val="00F743BD"/>
    <w:rsid w:val="00F743EC"/>
    <w:rsid w:val="00F744E2"/>
    <w:rsid w:val="00F747C6"/>
    <w:rsid w:val="00F752C0"/>
    <w:rsid w:val="00F76C36"/>
    <w:rsid w:val="00F76C3B"/>
    <w:rsid w:val="00F775E9"/>
    <w:rsid w:val="00F8195A"/>
    <w:rsid w:val="00F8238C"/>
    <w:rsid w:val="00F8286B"/>
    <w:rsid w:val="00F830E0"/>
    <w:rsid w:val="00F83E45"/>
    <w:rsid w:val="00F853CF"/>
    <w:rsid w:val="00F858AB"/>
    <w:rsid w:val="00F85C38"/>
    <w:rsid w:val="00F86523"/>
    <w:rsid w:val="00F86BDC"/>
    <w:rsid w:val="00F86CB0"/>
    <w:rsid w:val="00F87B5F"/>
    <w:rsid w:val="00F90222"/>
    <w:rsid w:val="00F9105F"/>
    <w:rsid w:val="00F917B5"/>
    <w:rsid w:val="00F917FD"/>
    <w:rsid w:val="00F92CCD"/>
    <w:rsid w:val="00F93547"/>
    <w:rsid w:val="00F939F0"/>
    <w:rsid w:val="00F93E85"/>
    <w:rsid w:val="00F93FE8"/>
    <w:rsid w:val="00F94673"/>
    <w:rsid w:val="00F94CFA"/>
    <w:rsid w:val="00F95503"/>
    <w:rsid w:val="00F955AF"/>
    <w:rsid w:val="00F95BAC"/>
    <w:rsid w:val="00F96BD5"/>
    <w:rsid w:val="00FA02E8"/>
    <w:rsid w:val="00FA09CE"/>
    <w:rsid w:val="00FA3042"/>
    <w:rsid w:val="00FA352A"/>
    <w:rsid w:val="00FA3E59"/>
    <w:rsid w:val="00FA60C4"/>
    <w:rsid w:val="00FA6632"/>
    <w:rsid w:val="00FA67DF"/>
    <w:rsid w:val="00FA6827"/>
    <w:rsid w:val="00FA7486"/>
    <w:rsid w:val="00FB0905"/>
    <w:rsid w:val="00FB0CF4"/>
    <w:rsid w:val="00FB1B88"/>
    <w:rsid w:val="00FB1F5C"/>
    <w:rsid w:val="00FB3826"/>
    <w:rsid w:val="00FB3C47"/>
    <w:rsid w:val="00FB6688"/>
    <w:rsid w:val="00FB6D48"/>
    <w:rsid w:val="00FB6D7F"/>
    <w:rsid w:val="00FB7533"/>
    <w:rsid w:val="00FB7E05"/>
    <w:rsid w:val="00FC1F5E"/>
    <w:rsid w:val="00FC258F"/>
    <w:rsid w:val="00FC5348"/>
    <w:rsid w:val="00FC5555"/>
    <w:rsid w:val="00FC62E3"/>
    <w:rsid w:val="00FC7044"/>
    <w:rsid w:val="00FD00F5"/>
    <w:rsid w:val="00FD0373"/>
    <w:rsid w:val="00FD0951"/>
    <w:rsid w:val="00FD0CFC"/>
    <w:rsid w:val="00FD0F21"/>
    <w:rsid w:val="00FD1200"/>
    <w:rsid w:val="00FD1A0A"/>
    <w:rsid w:val="00FD329B"/>
    <w:rsid w:val="00FD39CF"/>
    <w:rsid w:val="00FD3D82"/>
    <w:rsid w:val="00FD411E"/>
    <w:rsid w:val="00FD42FC"/>
    <w:rsid w:val="00FD65FC"/>
    <w:rsid w:val="00FD664D"/>
    <w:rsid w:val="00FE1A0F"/>
    <w:rsid w:val="00FE1A23"/>
    <w:rsid w:val="00FE1F52"/>
    <w:rsid w:val="00FE24E3"/>
    <w:rsid w:val="00FE388F"/>
    <w:rsid w:val="00FE3917"/>
    <w:rsid w:val="00FE3E73"/>
    <w:rsid w:val="00FE48DB"/>
    <w:rsid w:val="00FE5D95"/>
    <w:rsid w:val="00FE62AC"/>
    <w:rsid w:val="00FE64B5"/>
    <w:rsid w:val="00FE74E6"/>
    <w:rsid w:val="00FE7BD1"/>
    <w:rsid w:val="00FF03F5"/>
    <w:rsid w:val="00FF178A"/>
    <w:rsid w:val="00FF218F"/>
    <w:rsid w:val="00FF30EC"/>
    <w:rsid w:val="00FF32A5"/>
    <w:rsid w:val="00FF3C37"/>
    <w:rsid w:val="00FF4211"/>
    <w:rsid w:val="00FF44F3"/>
    <w:rsid w:val="00FF5435"/>
    <w:rsid w:val="00FF56B8"/>
    <w:rsid w:val="00FF59D4"/>
    <w:rsid w:val="00FF6A39"/>
    <w:rsid w:val="00FF6D5F"/>
    <w:rsid w:val="00FF6EBA"/>
    <w:rsid w:val="00FF74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259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9E443B"/>
    <w:pPr>
      <w:widowControl/>
      <w:wordWrap/>
      <w:autoSpaceDE/>
      <w:autoSpaceDN/>
      <w:spacing w:before="60" w:afterLines="0" w:after="60" w:line="288" w:lineRule="auto"/>
      <w:ind w:firstLineChars="200" w:firstLine="200"/>
    </w:pPr>
    <w:rPr>
      <w:rFonts w:eastAsia="Times New Roman" w:cs="바탕"/>
      <w:kern w:val="0"/>
      <w:szCs w:val="20"/>
      <w:lang w:val="en-GB"/>
    </w:rPr>
  </w:style>
  <w:style w:type="character" w:customStyle="1" w:styleId="maintextChar">
    <w:name w:val="main text Char"/>
    <w:link w:val="maintext"/>
    <w:qFormat/>
    <w:rsid w:val="009E443B"/>
    <w:rPr>
      <w:rFonts w:ascii="Times New Roman" w:eastAsia="Times New Roman"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0A8AFB-4553-4C91-9DD0-C01A95F8A5A3}">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B6592-222B-4DD0-B144-E2721FD8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2786</Words>
  <Characters>15884</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2021-05-11T05:48:00Z</dcterms:created>
  <dcterms:modified xsi:type="dcterms:W3CDTF">2021-05-11T05:48:00Z</dcterms:modified>
</cp:coreProperties>
</file>